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4A21F" w14:textId="128E9C8E" w:rsidR="008A02F7" w:rsidRPr="00B13DED" w:rsidRDefault="002B2CC0" w:rsidP="00C85DAB">
      <w:pPr>
        <w:pStyle w:val="Title"/>
        <w:spacing w:before="360" w:after="0"/>
        <w:jc w:val="center"/>
        <w:rPr>
          <w:sz w:val="24"/>
          <w:szCs w:val="24"/>
        </w:rPr>
      </w:pPr>
      <w:r w:rsidRPr="00B13DED">
        <w:rPr>
          <w:sz w:val="24"/>
          <w:szCs w:val="24"/>
        </w:rPr>
        <w:t xml:space="preserve">OBRAZLOŽENJE POSEBNOG DIJELA </w:t>
      </w:r>
      <w:r w:rsidR="002C1363">
        <w:rPr>
          <w:sz w:val="24"/>
          <w:szCs w:val="24"/>
        </w:rPr>
        <w:t>IZVJEŠTAJA O IZVRŠENJU PLANA</w:t>
      </w:r>
      <w:r w:rsidR="009A3707" w:rsidRPr="00B13DED">
        <w:rPr>
          <w:sz w:val="24"/>
          <w:szCs w:val="24"/>
        </w:rPr>
        <w:t xml:space="preserve"> </w:t>
      </w:r>
      <w:r w:rsidRPr="00B13DED">
        <w:rPr>
          <w:sz w:val="24"/>
          <w:szCs w:val="24"/>
        </w:rPr>
        <w:t>SVEUČILIŠT</w:t>
      </w:r>
      <w:r w:rsidR="008A02F7" w:rsidRPr="00B13DED">
        <w:rPr>
          <w:sz w:val="24"/>
          <w:szCs w:val="24"/>
        </w:rPr>
        <w:t>A</w:t>
      </w:r>
      <w:r w:rsidRPr="00B13DED">
        <w:rPr>
          <w:sz w:val="24"/>
          <w:szCs w:val="24"/>
        </w:rPr>
        <w:t xml:space="preserve"> U ZAGREBU </w:t>
      </w:r>
      <w:r w:rsidR="008A02F7" w:rsidRPr="00B13DED">
        <w:rPr>
          <w:sz w:val="24"/>
          <w:szCs w:val="24"/>
        </w:rPr>
        <w:t xml:space="preserve">- </w:t>
      </w:r>
      <w:r w:rsidRPr="00B13DED">
        <w:rPr>
          <w:sz w:val="24"/>
          <w:szCs w:val="24"/>
        </w:rPr>
        <w:t>FAKULTET STROJARSTVA I BRODOGRADNJE</w:t>
      </w:r>
      <w:r w:rsidR="008A02F7" w:rsidRPr="00B13DED">
        <w:rPr>
          <w:sz w:val="24"/>
          <w:szCs w:val="24"/>
        </w:rPr>
        <w:t xml:space="preserve"> </w:t>
      </w:r>
    </w:p>
    <w:p w14:paraId="1F374699" w14:textId="4CD7EC3C" w:rsidR="00786331" w:rsidRPr="00B13DED" w:rsidRDefault="009A3707" w:rsidP="00C85DAB">
      <w:pPr>
        <w:pStyle w:val="Title"/>
        <w:spacing w:before="0" w:after="360"/>
        <w:jc w:val="center"/>
        <w:rPr>
          <w:sz w:val="24"/>
          <w:szCs w:val="24"/>
        </w:rPr>
      </w:pPr>
      <w:r w:rsidRPr="00B13DED">
        <w:rPr>
          <w:sz w:val="24"/>
          <w:szCs w:val="24"/>
        </w:rPr>
        <w:t>ZA</w:t>
      </w:r>
      <w:r w:rsidR="002B2CC0" w:rsidRPr="00B13DED">
        <w:rPr>
          <w:sz w:val="24"/>
          <w:szCs w:val="24"/>
        </w:rPr>
        <w:t xml:space="preserve"> </w:t>
      </w:r>
      <w:r w:rsidR="002C1363">
        <w:rPr>
          <w:sz w:val="24"/>
          <w:szCs w:val="24"/>
        </w:rPr>
        <w:t>2025.</w:t>
      </w:r>
    </w:p>
    <w:p w14:paraId="1F37469B" w14:textId="77777777" w:rsidR="00786331" w:rsidRPr="00B13DED" w:rsidRDefault="002B2CC0" w:rsidP="00C85DAB">
      <w:pPr>
        <w:pStyle w:val="Heading1"/>
        <w:rPr>
          <w:sz w:val="24"/>
          <w:szCs w:val="24"/>
        </w:rPr>
      </w:pPr>
      <w:r w:rsidRPr="00B13DED">
        <w:rPr>
          <w:sz w:val="24"/>
          <w:szCs w:val="24"/>
          <w:highlight w:val="lightGray"/>
        </w:rPr>
        <w:t>Sažetak djelokruga rada proračunskog korisnika</w:t>
      </w:r>
    </w:p>
    <w:p w14:paraId="1F37469C" w14:textId="77777777" w:rsidR="00786331" w:rsidRPr="00B13DED" w:rsidRDefault="002B2CC0" w:rsidP="00C85D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 w:rsidRPr="00B13DED">
        <w:t>Fakultet strojarstva i brodogradnje Sveučilišta u Zagrebu je vodeća institucija u području strojarstva, brodogradnje i zrakoplovnog inženjerstva u Republici Hrvatskoj. Fakultet ima ulogu povezivanja istraživačkog i nastavnog procesa u svrhu kreiranja novih vrijednosti transferom rezultata istraživačkog rada za dobrobit gospodarstva. Svoju ulogu ostvaruje obrazovanjem stručnjaka kroz preddiplomske, diplomske, poslijediplomske doktorske i poslijediplomske specijalističke studije.</w:t>
      </w:r>
    </w:p>
    <w:p w14:paraId="1F37469D" w14:textId="0C0D4AF8" w:rsidR="00786331" w:rsidRPr="00B13DED" w:rsidRDefault="00791CE9" w:rsidP="00C85D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 w:rsidRPr="00B13DED">
        <w:t>Na Fakultetu se trenutno izvode četiri prijediplomska studija (Strojarstvo, Brodogradnja, Zrakoplovno inženjerstvo i svemirska tehnika te Mehatronika i robotika) i četiri diplomska studija (Strojarstvo, Brodogradnja, Zrakoplovno inženjerstvo te Mehatronika i robotika</w:t>
      </w:r>
      <w:r w:rsidR="002B2CC0" w:rsidRPr="00B13DED">
        <w:t>) sa oko 2</w:t>
      </w:r>
      <w:r w:rsidR="004E01A7" w:rsidRPr="00B13DED">
        <w:t>6</w:t>
      </w:r>
      <w:r w:rsidR="002B2CC0" w:rsidRPr="00B13DED">
        <w:t>00 studenata.. Studiji brodogradnje</w:t>
      </w:r>
      <w:r w:rsidR="00363FEE" w:rsidRPr="00B13DED">
        <w:t xml:space="preserve">, </w:t>
      </w:r>
      <w:r w:rsidR="002B2CC0" w:rsidRPr="00B13DED">
        <w:t>zrakoplovnog inženjerstva</w:t>
      </w:r>
      <w:r w:rsidR="00363FEE" w:rsidRPr="00B13DED">
        <w:t>, svemirske tehnike te mehatronike i robotike</w:t>
      </w:r>
      <w:r w:rsidR="002B2CC0" w:rsidRPr="00B13DED">
        <w:t xml:space="preserve"> nemaju smjerove već se usmjeravanje u željeno područje struke omogućava izborom odgovarajuće skupine izbornih kolegija. </w:t>
      </w:r>
      <w:r w:rsidR="00363FEE" w:rsidRPr="00B13DED">
        <w:t>Studij strojarstva pak, u 3. godini studija, nudi deset usmjerenja, čime student dobiva blago usmjeravanje prema odabranom području strojarske struke</w:t>
      </w:r>
      <w:r w:rsidR="002B2CC0" w:rsidRPr="00B13DED">
        <w:t xml:space="preserve">. </w:t>
      </w:r>
      <w:r w:rsidR="00363FEE" w:rsidRPr="00B13DED">
        <w:t>Prijediplomski studij inženjera strojarstva, brodogradnje, zrakoplovnog inženjerstva te mehatronike i robotike osposobljava za djelovanje u bilo kojem segmentu struke, omogućujući pri tome i zadovoljavanje individualnih interesa i sklonosti pojedinaca.</w:t>
      </w:r>
      <w:r w:rsidR="007E3E66" w:rsidRPr="00B13DED">
        <w:t xml:space="preserve"> </w:t>
      </w:r>
      <w:r w:rsidR="002B2CC0" w:rsidRPr="00B13DED">
        <w:t>Diplomski dio studija na FSB daje stručno i znanstveno produbljenje znanja stečenih na preddiplomskom studiju</w:t>
      </w:r>
      <w:r w:rsidR="00363FEE" w:rsidRPr="00B13DED">
        <w:t xml:space="preserve"> te se</w:t>
      </w:r>
      <w:r w:rsidR="00CF5FC3" w:rsidRPr="00B13DED">
        <w:t xml:space="preserve"> </w:t>
      </w:r>
      <w:r w:rsidR="00363FEE" w:rsidRPr="00B13DED">
        <w:t>studentima pruža mogućnost nastavka studija na jednom od smjerova diplomskog studija</w:t>
      </w:r>
      <w:r w:rsidR="002B2CC0" w:rsidRPr="00B13DED">
        <w:t xml:space="preserve"> Završetkom diplomskog studija polaznici su osposobljeni za obavljanje najsloženijih inženjerskih zadaća temeljenih na znanstvenom pristupu rješavanju problema. </w:t>
      </w:r>
    </w:p>
    <w:p w14:paraId="6E92C1DB" w14:textId="77777777" w:rsidR="00CF5FC3" w:rsidRPr="00B13DED" w:rsidRDefault="00CF5FC3" w:rsidP="00C85DA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13DED">
        <w:t xml:space="preserve">Fakultet strojarstva i brodogradnje izvodi dva poslijediplomska studija iz područja tehničkih znanosti: </w:t>
      </w:r>
    </w:p>
    <w:p w14:paraId="0C1C69BE" w14:textId="608F33D4" w:rsidR="00CF5FC3" w:rsidRPr="00B13DED" w:rsidRDefault="00CF5FC3" w:rsidP="00C85DA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3DED">
        <w:rPr>
          <w:rFonts w:ascii="Times New Roman" w:eastAsia="Times New Roman" w:hAnsi="Times New Roman" w:cs="Times New Roman"/>
          <w:sz w:val="24"/>
          <w:szCs w:val="24"/>
          <w:lang w:eastAsia="en-GB"/>
        </w:rPr>
        <w:t>poslijediplomski sveučilišni (doktorski) studij Strojarstvo, brodogradnja, zrakoplovstvo i metalurgija koji se izvodi se zajedno s Metalurškim fakultetom po smjerovima koja pripadaju znanstvenim poljima strojarstvo, brodogradnja, zrakoplovstvo, raketna i svemirska tehnika, metalurgija, temeljne tehničke znanosti i metalurgija. Na doktorskom studiju je učinjen pomak od nastavno orijentiranog prema istraživački orijentiranom studiju</w:t>
      </w:r>
      <w:r w:rsidR="002C1363">
        <w:rPr>
          <w:rFonts w:ascii="Times New Roman" w:eastAsia="Times New Roman" w:hAnsi="Times New Roman" w:cs="Times New Roman"/>
          <w:sz w:val="24"/>
          <w:szCs w:val="24"/>
          <w:lang w:eastAsia="en-GB"/>
        </w:rPr>
        <w:t>,  a tijekom 2025. je bilo aktivno 11 smjerova doktorskog studija.</w:t>
      </w:r>
    </w:p>
    <w:p w14:paraId="67B78A5E" w14:textId="64A373CE" w:rsidR="00CF5FC3" w:rsidRPr="00B13DED" w:rsidRDefault="00CF5FC3" w:rsidP="00C85DA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3DED">
        <w:rPr>
          <w:rFonts w:ascii="Times New Roman" w:eastAsia="Times New Roman" w:hAnsi="Times New Roman" w:cs="Times New Roman"/>
          <w:sz w:val="24"/>
          <w:szCs w:val="24"/>
          <w:lang w:eastAsia="en-GB"/>
        </w:rPr>
        <w:t>poslijediplomski specijalistički studij Strojarstvo i brodogradnja koji je dio koncepta cjeloživotnog obrazovanja</w:t>
      </w:r>
      <w:r w:rsidR="008A02F7" w:rsidRPr="00B13D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</w:t>
      </w:r>
      <w:r w:rsidRPr="00B13D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kojim se povećavaju stručna znanja, vještine i kompetencije</w:t>
      </w:r>
      <w:r w:rsidR="002C1363">
        <w:rPr>
          <w:rFonts w:ascii="Times New Roman" w:eastAsia="Times New Roman" w:hAnsi="Times New Roman" w:cs="Times New Roman"/>
          <w:sz w:val="24"/>
          <w:szCs w:val="24"/>
          <w:lang w:eastAsia="en-GB"/>
        </w:rPr>
        <w:t>, a na kojem je tijekom 2025. bilo aktivno 7 smjerova specijalističkog studija.</w:t>
      </w:r>
    </w:p>
    <w:p w14:paraId="1F3746A0" w14:textId="1ECEB2D0" w:rsidR="00786331" w:rsidRPr="00B13DED" w:rsidRDefault="002B2CC0" w:rsidP="00C85D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 w:rsidRPr="00B13DED">
        <w:t>Na Fakultetu se ostvaruju znanstveni projekti koji značajno utječu na osobni razvoj nastavnika i podizanje kvalitete i širine nastavnog rada na diplomskoj, a posebno na poslijediplomskoj razini. Svoju djelatnost u europskom okruženju Fakultet ostvaruje kroz različite Europske znanstvene, nastavne i bilateralne projekte te kroz programe razmjene studenata, nastavnog i nenastavnog osoblja.</w:t>
      </w:r>
    </w:p>
    <w:p w14:paraId="1F3746A6" w14:textId="1EAC95FC" w:rsidR="00786331" w:rsidRPr="00B13DED" w:rsidRDefault="002C1363" w:rsidP="00554767">
      <w:pPr>
        <w:pStyle w:val="Heading1"/>
        <w:numPr>
          <w:ilvl w:val="0"/>
          <w:numId w:val="6"/>
        </w:numPr>
        <w:shd w:val="clear" w:color="auto" w:fill="D0CECE" w:themeFill="background2" w:themeFillShade="E6"/>
        <w:ind w:left="284" w:hanging="284"/>
        <w:jc w:val="both"/>
        <w:rPr>
          <w:sz w:val="24"/>
          <w:szCs w:val="24"/>
          <w:highlight w:val="lightGray"/>
        </w:rPr>
      </w:pPr>
      <w:bookmarkStart w:id="0" w:name="_Hlk225370776"/>
      <w:r w:rsidRPr="002C1363">
        <w:rPr>
          <w:sz w:val="24"/>
          <w:szCs w:val="24"/>
        </w:rPr>
        <w:lastRenderedPageBreak/>
        <w:t>A621001</w:t>
      </w:r>
      <w:r w:rsidR="002B2CC0" w:rsidRPr="00B13DED">
        <w:rPr>
          <w:sz w:val="24"/>
          <w:szCs w:val="24"/>
          <w:highlight w:val="lightGray"/>
        </w:rPr>
        <w:t xml:space="preserve"> </w:t>
      </w:r>
      <w:r w:rsidR="00FB5FC3">
        <w:rPr>
          <w:sz w:val="24"/>
          <w:szCs w:val="24"/>
        </w:rPr>
        <w:t>R</w:t>
      </w:r>
      <w:r w:rsidR="00FB5FC3" w:rsidRPr="00FB5FC3">
        <w:rPr>
          <w:sz w:val="24"/>
          <w:szCs w:val="24"/>
        </w:rPr>
        <w:t xml:space="preserve">edovna djelatnost </w:t>
      </w:r>
      <w:r w:rsidR="00FB5FC3">
        <w:rPr>
          <w:sz w:val="24"/>
          <w:szCs w:val="24"/>
        </w:rPr>
        <w:t>S</w:t>
      </w:r>
      <w:r w:rsidR="00FB5FC3" w:rsidRPr="00FB5FC3">
        <w:rPr>
          <w:sz w:val="24"/>
          <w:szCs w:val="24"/>
        </w:rPr>
        <w:t xml:space="preserve">veučilišta u </w:t>
      </w:r>
      <w:r w:rsidR="00FB5FC3">
        <w:rPr>
          <w:sz w:val="24"/>
          <w:szCs w:val="24"/>
        </w:rPr>
        <w:t>Z</w:t>
      </w:r>
      <w:r w:rsidR="00FB5FC3" w:rsidRPr="00FB5FC3">
        <w:rPr>
          <w:sz w:val="24"/>
          <w:szCs w:val="24"/>
        </w:rPr>
        <w:t>agrebu</w:t>
      </w:r>
    </w:p>
    <w:bookmarkEnd w:id="0"/>
    <w:p w14:paraId="1F3746A7" w14:textId="02A85AF5" w:rsidR="00786331" w:rsidRPr="00B13DED" w:rsidRDefault="002B2CC0" w:rsidP="00C85DAB">
      <w:pPr>
        <w:pStyle w:val="Heading2"/>
        <w:rPr>
          <w:szCs w:val="24"/>
        </w:rPr>
      </w:pPr>
      <w:r w:rsidRPr="00B13DED">
        <w:rPr>
          <w:szCs w:val="24"/>
        </w:rPr>
        <w:t>Zakonske i druge pravne osnove</w:t>
      </w:r>
    </w:p>
    <w:p w14:paraId="1F3746A8" w14:textId="77777777" w:rsidR="00786331" w:rsidRPr="00B13DED" w:rsidRDefault="002B2CC0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13DED">
        <w:t xml:space="preserve">Zakon o znanstvenoj djelatnosti i visokom obrazovanju </w:t>
      </w:r>
    </w:p>
    <w:p w14:paraId="1F3746A9" w14:textId="77777777" w:rsidR="00786331" w:rsidRPr="00B13DED" w:rsidRDefault="002B2CC0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13DED">
        <w:t xml:space="preserve">Kolektivni ugovor za znanost i visoko obrazovanje </w:t>
      </w:r>
    </w:p>
    <w:p w14:paraId="128B612F" w14:textId="5B32A42C" w:rsidR="00872EC3" w:rsidRPr="00B13DED" w:rsidRDefault="00872EC3" w:rsidP="00872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13DED">
        <w:t>Uredba o programskom financiranju javnih visokih učilišta i javnih znanstvenih instituta u Republici Hrvatskoj</w:t>
      </w:r>
    </w:p>
    <w:p w14:paraId="1F3746AA" w14:textId="5B2416CB" w:rsidR="00786331" w:rsidRPr="00B13DED" w:rsidRDefault="002B2CC0" w:rsidP="005C2A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13DED">
        <w:t xml:space="preserve">Zakon o studentskom zboru i drugim studentskim organizacijama </w:t>
      </w:r>
    </w:p>
    <w:p w14:paraId="1F3746AB" w14:textId="77777777" w:rsidR="00786331" w:rsidRPr="00B13DED" w:rsidRDefault="002B2CC0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13DED">
        <w:t>Strategija znanosti, obrazovanja i tehnologije</w:t>
      </w:r>
    </w:p>
    <w:p w14:paraId="1F3746AC" w14:textId="21FEB74F" w:rsidR="00786331" w:rsidRDefault="002B2CC0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gjdgxs" w:colFirst="0" w:colLast="0"/>
      <w:bookmarkEnd w:id="1"/>
      <w:r w:rsidRPr="00B13DED">
        <w:t xml:space="preserve">Strategija Fakulteta strojarstva i brodogradnje </w:t>
      </w:r>
    </w:p>
    <w:p w14:paraId="43CB282B" w14:textId="7EF29CE8" w:rsidR="00FB5FC3" w:rsidRPr="00B13DED" w:rsidRDefault="00FB5FC3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B5FC3">
        <w:t>Uredb</w:t>
      </w:r>
      <w:r>
        <w:t>a</w:t>
      </w:r>
      <w:r w:rsidRPr="00FB5FC3">
        <w:t xml:space="preserve"> o programskom financiranju javnih visokih učilišta i javnih znanstvenih instituta u Republici Hrvatskoj</w:t>
      </w:r>
    </w:p>
    <w:p w14:paraId="12AEB1E9" w14:textId="4E4346FA" w:rsidR="004955AD" w:rsidRPr="00B13DED" w:rsidRDefault="004955AD" w:rsidP="00C85DAB">
      <w:pPr>
        <w:pStyle w:val="Heading2"/>
        <w:rPr>
          <w:szCs w:val="24"/>
        </w:rPr>
      </w:pPr>
      <w:r w:rsidRPr="00B13DED">
        <w:rPr>
          <w:szCs w:val="24"/>
        </w:rPr>
        <w:t>Osnovni podaci</w:t>
      </w:r>
    </w:p>
    <w:tbl>
      <w:tblPr>
        <w:tblStyle w:val="a"/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2161"/>
        <w:gridCol w:w="2161"/>
        <w:gridCol w:w="2161"/>
      </w:tblGrid>
      <w:tr w:rsidR="002C1363" w:rsidRPr="00B13DED" w14:paraId="1F3746B6" w14:textId="77777777" w:rsidTr="002C1363">
        <w:trPr>
          <w:trHeight w:val="549"/>
          <w:jc w:val="center"/>
        </w:trPr>
        <w:tc>
          <w:tcPr>
            <w:tcW w:w="2829" w:type="dxa"/>
            <w:shd w:val="clear" w:color="auto" w:fill="D0CECE"/>
            <w:vAlign w:val="center"/>
          </w:tcPr>
          <w:p w14:paraId="1F3746AF" w14:textId="7B5C92C2" w:rsidR="002C1363" w:rsidRPr="00B13DED" w:rsidRDefault="002C1363" w:rsidP="002C1363">
            <w:pPr>
              <w:jc w:val="both"/>
            </w:pPr>
            <w:r w:rsidRPr="00B13DED">
              <w:t xml:space="preserve">Djelatnost 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1F3746B0" w14:textId="7130A0BD" w:rsidR="002C1363" w:rsidRPr="00B13DED" w:rsidRDefault="002C1363" w:rsidP="002C1363">
            <w:pPr>
              <w:jc w:val="center"/>
            </w:pPr>
            <w:r w:rsidRPr="00B13DED">
              <w:t xml:space="preserve">Plan </w:t>
            </w:r>
            <w:r>
              <w:t>2025.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1F3746B1" w14:textId="71935437" w:rsidR="002C1363" w:rsidRPr="00B13DED" w:rsidRDefault="002C1363" w:rsidP="002C1363">
            <w:pPr>
              <w:jc w:val="center"/>
            </w:pPr>
            <w:r>
              <w:t>Izvršenje 2025.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6363DBEE" w14:textId="77777777" w:rsidR="002C1363" w:rsidRDefault="002C1363" w:rsidP="002C1363">
            <w:pPr>
              <w:jc w:val="center"/>
            </w:pPr>
            <w:r>
              <w:t xml:space="preserve">Indeks </w:t>
            </w:r>
          </w:p>
          <w:p w14:paraId="5865EBA0" w14:textId="77777777" w:rsidR="002C1363" w:rsidRDefault="002C1363" w:rsidP="002C1363">
            <w:pPr>
              <w:jc w:val="center"/>
            </w:pPr>
            <w:r>
              <w:t>Plan 2025/</w:t>
            </w:r>
          </w:p>
          <w:p w14:paraId="1F3746B2" w14:textId="08F920A4" w:rsidR="002C1363" w:rsidRPr="00B13DED" w:rsidRDefault="002C1363" w:rsidP="002C1363">
            <w:pPr>
              <w:jc w:val="center"/>
            </w:pPr>
            <w:r>
              <w:t>Izvršenje 2025</w:t>
            </w:r>
          </w:p>
        </w:tc>
      </w:tr>
      <w:tr w:rsidR="000C7BA3" w:rsidRPr="00B13DED" w14:paraId="7EE846E9" w14:textId="77777777" w:rsidTr="002C1363">
        <w:trPr>
          <w:trHeight w:val="1111"/>
          <w:jc w:val="center"/>
        </w:trPr>
        <w:tc>
          <w:tcPr>
            <w:tcW w:w="2829" w:type="dxa"/>
            <w:vAlign w:val="center"/>
          </w:tcPr>
          <w:p w14:paraId="78AC2EF0" w14:textId="77777777" w:rsidR="000C7BA3" w:rsidRPr="000C7BA3" w:rsidRDefault="000C7BA3" w:rsidP="000C7BA3">
            <w:pPr>
              <w:rPr>
                <w:b/>
              </w:rPr>
            </w:pPr>
            <w:r w:rsidRPr="000C7BA3">
              <w:rPr>
                <w:b/>
              </w:rPr>
              <w:t>A621001</w:t>
            </w:r>
          </w:p>
          <w:p w14:paraId="0735DEB5" w14:textId="0BD42648" w:rsidR="000C7BA3" w:rsidRPr="000C7BA3" w:rsidRDefault="000C7BA3" w:rsidP="008029EF">
            <w:r w:rsidRPr="000C7BA3">
              <w:t>Redovna djelatnost fakulteta strojarstva i brodogradnje</w:t>
            </w:r>
          </w:p>
        </w:tc>
        <w:tc>
          <w:tcPr>
            <w:tcW w:w="2161" w:type="dxa"/>
            <w:vAlign w:val="center"/>
          </w:tcPr>
          <w:p w14:paraId="38AD8106" w14:textId="391502C5" w:rsidR="000C7BA3" w:rsidRPr="00176CAC" w:rsidRDefault="000C7BA3" w:rsidP="000C7BA3">
            <w:pPr>
              <w:jc w:val="center"/>
            </w:pPr>
            <w:r w:rsidRPr="00176CAC">
              <w:t>14.237.148</w:t>
            </w:r>
          </w:p>
        </w:tc>
        <w:tc>
          <w:tcPr>
            <w:tcW w:w="2161" w:type="dxa"/>
            <w:vAlign w:val="center"/>
          </w:tcPr>
          <w:p w14:paraId="733B90A7" w14:textId="76182444" w:rsidR="000C7BA3" w:rsidRPr="00176CAC" w:rsidRDefault="000C7BA3" w:rsidP="000C7BA3">
            <w:pPr>
              <w:jc w:val="center"/>
            </w:pPr>
            <w:r w:rsidRPr="00176CAC">
              <w:t>17.861.168,25</w:t>
            </w:r>
          </w:p>
        </w:tc>
        <w:tc>
          <w:tcPr>
            <w:tcW w:w="2161" w:type="dxa"/>
            <w:vAlign w:val="center"/>
          </w:tcPr>
          <w:p w14:paraId="4F294FD4" w14:textId="173449B4" w:rsidR="000C7BA3" w:rsidRPr="002C1363" w:rsidRDefault="000C7BA3" w:rsidP="000C7BA3">
            <w:pPr>
              <w:jc w:val="center"/>
            </w:pPr>
            <w:r w:rsidRPr="002C1363">
              <w:t>125%</w:t>
            </w:r>
          </w:p>
        </w:tc>
      </w:tr>
      <w:tr w:rsidR="000C7BA3" w:rsidRPr="00B13DED" w14:paraId="1F3746BF" w14:textId="77777777" w:rsidTr="002C1363">
        <w:trPr>
          <w:trHeight w:val="1111"/>
          <w:jc w:val="center"/>
        </w:trPr>
        <w:tc>
          <w:tcPr>
            <w:tcW w:w="2829" w:type="dxa"/>
            <w:vAlign w:val="center"/>
          </w:tcPr>
          <w:p w14:paraId="3A63EF7F" w14:textId="6E4A61D0" w:rsidR="000C7BA3" w:rsidRPr="00FE5CB0" w:rsidRDefault="00FE5CB0" w:rsidP="000C7BA3">
            <w:pPr>
              <w:rPr>
                <w:b/>
                <w:i/>
              </w:rPr>
            </w:pPr>
            <w:bookmarkStart w:id="2" w:name="_Hlk225363482"/>
            <w:r w:rsidRPr="00FE5CB0">
              <w:rPr>
                <w:b/>
                <w:i/>
              </w:rPr>
              <w:t>A679134</w:t>
            </w:r>
          </w:p>
          <w:bookmarkEnd w:id="2"/>
          <w:p w14:paraId="1F3746B8" w14:textId="7DA09B02" w:rsidR="000C7BA3" w:rsidRPr="00FE5CB0" w:rsidRDefault="000C7BA3" w:rsidP="000C7BA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 w:rsidRPr="00FE5CB0">
              <w:rPr>
                <w:i/>
              </w:rPr>
              <w:t>Programsko financiranje javnih visokih učilišta</w:t>
            </w:r>
          </w:p>
        </w:tc>
        <w:tc>
          <w:tcPr>
            <w:tcW w:w="2161" w:type="dxa"/>
            <w:vAlign w:val="center"/>
          </w:tcPr>
          <w:p w14:paraId="1F3746B9" w14:textId="7510402D" w:rsidR="000C7BA3" w:rsidRPr="00FE5CB0" w:rsidRDefault="00FE5CB0" w:rsidP="000C7BA3">
            <w:pPr>
              <w:jc w:val="center"/>
              <w:rPr>
                <w:bCs/>
                <w:i/>
                <w:lang w:eastAsia="hr-HR"/>
              </w:rPr>
            </w:pPr>
            <w:r w:rsidRPr="00FE5CB0">
              <w:rPr>
                <w:bCs/>
                <w:i/>
                <w:lang w:eastAsia="hr-HR"/>
              </w:rPr>
              <w:t>4.775.443</w:t>
            </w:r>
          </w:p>
        </w:tc>
        <w:tc>
          <w:tcPr>
            <w:tcW w:w="2161" w:type="dxa"/>
            <w:vAlign w:val="center"/>
          </w:tcPr>
          <w:p w14:paraId="1F3746BA" w14:textId="4F0D5568" w:rsidR="000C7BA3" w:rsidRPr="00FE5CB0" w:rsidRDefault="000C7BA3" w:rsidP="000C7BA3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161" w:type="dxa"/>
            <w:vAlign w:val="center"/>
          </w:tcPr>
          <w:p w14:paraId="1F3746BB" w14:textId="6B4EF4AC" w:rsidR="000C7BA3" w:rsidRPr="00B13DED" w:rsidRDefault="000C7BA3" w:rsidP="000C7BA3">
            <w:pPr>
              <w:jc w:val="center"/>
              <w:rPr>
                <w:i/>
              </w:rPr>
            </w:pPr>
          </w:p>
        </w:tc>
      </w:tr>
    </w:tbl>
    <w:p w14:paraId="5EC7F39E" w14:textId="75268E2E" w:rsidR="006540B6" w:rsidRDefault="00FE5CB0" w:rsidP="006540B6">
      <w:pPr>
        <w:spacing w:before="240"/>
        <w:jc w:val="both"/>
        <w:rPr>
          <w:iCs/>
        </w:rPr>
      </w:pPr>
      <w:r>
        <w:rPr>
          <w:iCs/>
        </w:rPr>
        <w:t>Plan 2025. je obuhvatio cijelu kalendarsku godinu 2025. godinu u kojoj je u zadnjem kvartalu 2025., a s početkom akademske godine 2025</w:t>
      </w:r>
      <w:r w:rsidR="001325FD">
        <w:rPr>
          <w:iCs/>
        </w:rPr>
        <w:t>.</w:t>
      </w:r>
      <w:r>
        <w:rPr>
          <w:iCs/>
        </w:rPr>
        <w:t>/2026</w:t>
      </w:r>
      <w:r w:rsidR="001325FD">
        <w:rPr>
          <w:iCs/>
        </w:rPr>
        <w:t>.,</w:t>
      </w:r>
      <w:r>
        <w:rPr>
          <w:iCs/>
        </w:rPr>
        <w:t xml:space="preserve"> počela provedba programskog ugovora. Međutim, kako je plan izrađen prema dotadašnjim aktivnostima onda se i njegova provedba evidentirala na taj način. Stoga se gore samo kao informacija daje </w:t>
      </w:r>
      <w:r w:rsidR="001325FD">
        <w:rPr>
          <w:iCs/>
        </w:rPr>
        <w:t xml:space="preserve">plan i realizacija redovne prema aktivnosti A621001 – Redovne djelatnosti Fakulteta strojarstva i brodogradnje s </w:t>
      </w:r>
      <w:r>
        <w:rPr>
          <w:iCs/>
        </w:rPr>
        <w:t>uvid</w:t>
      </w:r>
      <w:r w:rsidR="001325FD">
        <w:rPr>
          <w:iCs/>
        </w:rPr>
        <w:t xml:space="preserve">om dio plana koji je predviđen za aktivnost A679134 za programsko financiranje javnih visokih učilišta. </w:t>
      </w:r>
      <w:r>
        <w:rPr>
          <w:iCs/>
        </w:rPr>
        <w:t xml:space="preserve"> </w:t>
      </w:r>
    </w:p>
    <w:p w14:paraId="1F3746C6" w14:textId="5E02A13D" w:rsidR="00786331" w:rsidRDefault="00FE5CB0" w:rsidP="00FB5FC3">
      <w:pPr>
        <w:spacing w:before="120" w:after="120"/>
        <w:jc w:val="both"/>
        <w:rPr>
          <w:iCs/>
        </w:rPr>
      </w:pPr>
      <w:r>
        <w:rPr>
          <w:iCs/>
        </w:rPr>
        <w:t xml:space="preserve">Programski ugovor je predvidio iznos od </w:t>
      </w:r>
      <w:r w:rsidRPr="00FE5CB0">
        <w:rPr>
          <w:iCs/>
        </w:rPr>
        <w:t>4.</w:t>
      </w:r>
      <w:r>
        <w:rPr>
          <w:iCs/>
        </w:rPr>
        <w:t xml:space="preserve">775.443 € koji se fakultetu doznačava za zadnji kvartal 2025. godine a koji obuhvaća iznos od </w:t>
      </w:r>
      <w:r w:rsidRPr="00FE5CB0">
        <w:rPr>
          <w:iCs/>
        </w:rPr>
        <w:t>4.504.377</w:t>
      </w:r>
      <w:r>
        <w:rPr>
          <w:iCs/>
        </w:rPr>
        <w:t xml:space="preserve"> € za aktivnosti osnovne komponente, iznos od </w:t>
      </w:r>
      <w:r w:rsidRPr="00FE5CB0">
        <w:rPr>
          <w:iCs/>
        </w:rPr>
        <w:t>75.705</w:t>
      </w:r>
      <w:r>
        <w:rPr>
          <w:iCs/>
        </w:rPr>
        <w:t xml:space="preserve"> € za aktivnosti razvojne komponente te iznos od </w:t>
      </w:r>
      <w:r w:rsidRPr="00FE5CB0">
        <w:rPr>
          <w:iCs/>
        </w:rPr>
        <w:t>195.36</w:t>
      </w:r>
      <w:r>
        <w:rPr>
          <w:iCs/>
        </w:rPr>
        <w:t>1 € za aktivnosti izvedbene komponente.</w:t>
      </w:r>
    </w:p>
    <w:p w14:paraId="25F07FF2" w14:textId="4E3E831F" w:rsidR="00FB5FC3" w:rsidRPr="00FB5FC3" w:rsidRDefault="00FB5FC3" w:rsidP="00FB5FC3">
      <w:pPr>
        <w:pStyle w:val="Heading1"/>
        <w:numPr>
          <w:ilvl w:val="0"/>
          <w:numId w:val="6"/>
        </w:numPr>
        <w:shd w:val="clear" w:color="auto" w:fill="D0CECE" w:themeFill="background2" w:themeFillShade="E6"/>
        <w:ind w:left="284" w:hanging="284"/>
        <w:jc w:val="both"/>
        <w:rPr>
          <w:sz w:val="24"/>
          <w:szCs w:val="24"/>
        </w:rPr>
      </w:pPr>
      <w:r w:rsidRPr="00FB5FC3">
        <w:rPr>
          <w:sz w:val="24"/>
          <w:szCs w:val="24"/>
        </w:rPr>
        <w:t>A62</w:t>
      </w:r>
      <w:r>
        <w:rPr>
          <w:sz w:val="24"/>
          <w:szCs w:val="24"/>
        </w:rPr>
        <w:t>2122</w:t>
      </w:r>
      <w:r w:rsidRPr="00FB5FC3">
        <w:rPr>
          <w:sz w:val="24"/>
          <w:szCs w:val="24"/>
        </w:rPr>
        <w:t xml:space="preserve"> Programsko financiranje javnih visokih učilišta</w:t>
      </w:r>
    </w:p>
    <w:tbl>
      <w:tblPr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2161"/>
        <w:gridCol w:w="2161"/>
        <w:gridCol w:w="2161"/>
      </w:tblGrid>
      <w:tr w:rsidR="00FB5FC3" w:rsidRPr="00B13DED" w14:paraId="4DC407FC" w14:textId="77777777" w:rsidTr="006B497A">
        <w:trPr>
          <w:trHeight w:val="549"/>
          <w:jc w:val="center"/>
        </w:trPr>
        <w:tc>
          <w:tcPr>
            <w:tcW w:w="2829" w:type="dxa"/>
            <w:shd w:val="clear" w:color="auto" w:fill="D0CECE"/>
            <w:vAlign w:val="center"/>
          </w:tcPr>
          <w:p w14:paraId="6C182D0E" w14:textId="77777777" w:rsidR="00FB5FC3" w:rsidRPr="00B13DED" w:rsidRDefault="00FB5FC3" w:rsidP="006B497A">
            <w:pPr>
              <w:jc w:val="both"/>
            </w:pPr>
            <w:r w:rsidRPr="00B13DED">
              <w:t xml:space="preserve">Djelatnost 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768555BD" w14:textId="77777777" w:rsidR="00FB5FC3" w:rsidRPr="00B13DED" w:rsidRDefault="00FB5FC3" w:rsidP="006B497A">
            <w:pPr>
              <w:jc w:val="center"/>
            </w:pPr>
            <w:r w:rsidRPr="00B13DED">
              <w:t xml:space="preserve">Plan </w:t>
            </w:r>
            <w:r>
              <w:t>2025.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743723FA" w14:textId="77777777" w:rsidR="00FB5FC3" w:rsidRPr="00B13DED" w:rsidRDefault="00FB5FC3" w:rsidP="006B497A">
            <w:pPr>
              <w:jc w:val="center"/>
            </w:pPr>
            <w:r>
              <w:t>Izvršenje 2025.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026C1274" w14:textId="77777777" w:rsidR="00FB5FC3" w:rsidRDefault="00FB5FC3" w:rsidP="006B497A">
            <w:pPr>
              <w:jc w:val="center"/>
            </w:pPr>
            <w:r>
              <w:t xml:space="preserve">Indeks </w:t>
            </w:r>
          </w:p>
          <w:p w14:paraId="070C9D86" w14:textId="77777777" w:rsidR="00FB5FC3" w:rsidRDefault="00FB5FC3" w:rsidP="006B497A">
            <w:pPr>
              <w:jc w:val="center"/>
            </w:pPr>
            <w:r>
              <w:t>Plan 2025/</w:t>
            </w:r>
          </w:p>
          <w:p w14:paraId="0A03C5B3" w14:textId="77777777" w:rsidR="00FB5FC3" w:rsidRPr="00B13DED" w:rsidRDefault="00FB5FC3" w:rsidP="006B497A">
            <w:pPr>
              <w:jc w:val="center"/>
            </w:pPr>
            <w:r>
              <w:t>Izvršenje 2025</w:t>
            </w:r>
          </w:p>
        </w:tc>
      </w:tr>
      <w:tr w:rsidR="00FB5FC3" w:rsidRPr="00B13DED" w14:paraId="1656E0BD" w14:textId="77777777" w:rsidTr="006B497A">
        <w:trPr>
          <w:trHeight w:val="1111"/>
          <w:jc w:val="center"/>
        </w:trPr>
        <w:tc>
          <w:tcPr>
            <w:tcW w:w="2829" w:type="dxa"/>
            <w:vAlign w:val="center"/>
          </w:tcPr>
          <w:p w14:paraId="74732052" w14:textId="77777777" w:rsidR="00FB5FC3" w:rsidRPr="000C7BA3" w:rsidRDefault="00FB5FC3" w:rsidP="006B497A">
            <w:pPr>
              <w:rPr>
                <w:b/>
              </w:rPr>
            </w:pPr>
            <w:r w:rsidRPr="000C7BA3">
              <w:rPr>
                <w:b/>
              </w:rPr>
              <w:t>A</w:t>
            </w:r>
            <w:r>
              <w:rPr>
                <w:b/>
              </w:rPr>
              <w:t>622122</w:t>
            </w:r>
          </w:p>
          <w:p w14:paraId="7FABD190" w14:textId="77777777" w:rsidR="00FB5FC3" w:rsidRPr="000C7BA3" w:rsidRDefault="00FB5FC3" w:rsidP="006B497A">
            <w:r>
              <w:t>Programsko financiranje javnih visokih učilišta</w:t>
            </w:r>
          </w:p>
        </w:tc>
        <w:tc>
          <w:tcPr>
            <w:tcW w:w="2161" w:type="dxa"/>
            <w:vAlign w:val="center"/>
          </w:tcPr>
          <w:p w14:paraId="7D93712D" w14:textId="77777777" w:rsidR="00FB5FC3" w:rsidRPr="00176CAC" w:rsidRDefault="00FB5FC3" w:rsidP="006B497A">
            <w:pPr>
              <w:jc w:val="center"/>
            </w:pPr>
            <w:r>
              <w:t>955.100</w:t>
            </w:r>
          </w:p>
        </w:tc>
        <w:tc>
          <w:tcPr>
            <w:tcW w:w="2161" w:type="dxa"/>
            <w:vAlign w:val="center"/>
          </w:tcPr>
          <w:p w14:paraId="1C69D2E5" w14:textId="77777777" w:rsidR="00FB5FC3" w:rsidRPr="00176CAC" w:rsidRDefault="00FB5FC3" w:rsidP="006B497A">
            <w:pPr>
              <w:jc w:val="center"/>
            </w:pPr>
            <w:r>
              <w:t>0,00</w:t>
            </w:r>
          </w:p>
        </w:tc>
        <w:tc>
          <w:tcPr>
            <w:tcW w:w="2161" w:type="dxa"/>
            <w:vAlign w:val="center"/>
          </w:tcPr>
          <w:p w14:paraId="22CC654C" w14:textId="77777777" w:rsidR="00FB5FC3" w:rsidRPr="002C1363" w:rsidRDefault="00FB5FC3" w:rsidP="006B497A">
            <w:pPr>
              <w:jc w:val="center"/>
            </w:pPr>
          </w:p>
        </w:tc>
      </w:tr>
    </w:tbl>
    <w:p w14:paraId="1DF87B1E" w14:textId="77777777" w:rsidR="00FB5FC3" w:rsidRPr="00AE5FFE" w:rsidRDefault="00FB5FC3" w:rsidP="00FB5FC3">
      <w:pPr>
        <w:spacing w:before="120"/>
        <w:jc w:val="both"/>
      </w:pPr>
      <w:r w:rsidRPr="00AE5FFE">
        <w:t xml:space="preserve">Na ovoj su se aktivnosti planirale potpore Sveučilišta u Zagrebu koje se dodijeljuju za temeljno financiranje znanstvene i umjetničke djelatnosti koje su se dodjeljivale zaljučno s 2024. </w:t>
      </w:r>
      <w:r w:rsidRPr="00AE5FFE">
        <w:lastRenderedPageBreak/>
        <w:t>godinom. Na temelju  Uredbe o programskom financiranju javnih visokih učilišta i javnih znanstvenih instituta u Republici Hrvatskoj Sveučilište u Zagrebu je krajem 2025. potpisalo programski ugovor koji je zamijenio dotadašnji način financiranja djelatnosti Fakulteta, pa slijedom toga potpore planirane po ovoj aktivnosti nisu ostvarene u 2025. godini.</w:t>
      </w:r>
    </w:p>
    <w:p w14:paraId="1F3746C7" w14:textId="05E85CBA" w:rsidR="00786331" w:rsidRDefault="001325FD" w:rsidP="00554767">
      <w:pPr>
        <w:pStyle w:val="Heading1"/>
        <w:numPr>
          <w:ilvl w:val="0"/>
          <w:numId w:val="6"/>
        </w:numPr>
        <w:ind w:left="284"/>
        <w:rPr>
          <w:sz w:val="24"/>
          <w:szCs w:val="24"/>
          <w:highlight w:val="lightGray"/>
        </w:rPr>
      </w:pPr>
      <w:r w:rsidRPr="001325FD">
        <w:rPr>
          <w:sz w:val="24"/>
          <w:szCs w:val="24"/>
          <w:highlight w:val="lightGray"/>
        </w:rPr>
        <w:t>A621183</w:t>
      </w:r>
      <w:r w:rsidR="002B2CC0" w:rsidRPr="001325FD">
        <w:rPr>
          <w:sz w:val="24"/>
          <w:szCs w:val="24"/>
          <w:highlight w:val="lightGray"/>
        </w:rPr>
        <w:t xml:space="preserve"> </w:t>
      </w:r>
      <w:r w:rsidRPr="001325FD">
        <w:rPr>
          <w:sz w:val="24"/>
          <w:szCs w:val="24"/>
          <w:highlight w:val="lightGray"/>
        </w:rPr>
        <w:t>Stipendije i školarine za doktorski studij</w:t>
      </w:r>
    </w:p>
    <w:tbl>
      <w:tblPr>
        <w:tblStyle w:val="a"/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2161"/>
        <w:gridCol w:w="2161"/>
        <w:gridCol w:w="2161"/>
      </w:tblGrid>
      <w:tr w:rsidR="001325FD" w:rsidRPr="00B13DED" w14:paraId="6556D974" w14:textId="77777777" w:rsidTr="006B497A">
        <w:trPr>
          <w:trHeight w:val="549"/>
          <w:jc w:val="center"/>
        </w:trPr>
        <w:tc>
          <w:tcPr>
            <w:tcW w:w="2829" w:type="dxa"/>
            <w:shd w:val="clear" w:color="auto" w:fill="D0CECE"/>
            <w:vAlign w:val="center"/>
          </w:tcPr>
          <w:p w14:paraId="12E0A671" w14:textId="77777777" w:rsidR="001325FD" w:rsidRPr="00B13DED" w:rsidRDefault="001325FD" w:rsidP="006B497A">
            <w:pPr>
              <w:jc w:val="both"/>
            </w:pPr>
            <w:bookmarkStart w:id="3" w:name="_Hlk225370040"/>
            <w:r w:rsidRPr="00B13DED">
              <w:t xml:space="preserve">Djelatnost 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4F5E09C7" w14:textId="77777777" w:rsidR="001325FD" w:rsidRPr="00B13DED" w:rsidRDefault="001325FD" w:rsidP="006B497A">
            <w:pPr>
              <w:jc w:val="center"/>
            </w:pPr>
            <w:r w:rsidRPr="00B13DED">
              <w:t xml:space="preserve">Plan </w:t>
            </w:r>
            <w:r>
              <w:t>2025.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65A9F121" w14:textId="77777777" w:rsidR="001325FD" w:rsidRPr="00B13DED" w:rsidRDefault="001325FD" w:rsidP="006B497A">
            <w:pPr>
              <w:jc w:val="center"/>
            </w:pPr>
            <w:r>
              <w:t>Izvršenje 2025.</w:t>
            </w:r>
          </w:p>
        </w:tc>
        <w:tc>
          <w:tcPr>
            <w:tcW w:w="2161" w:type="dxa"/>
            <w:shd w:val="clear" w:color="auto" w:fill="D0CECE"/>
            <w:vAlign w:val="center"/>
          </w:tcPr>
          <w:p w14:paraId="43947706" w14:textId="77777777" w:rsidR="001325FD" w:rsidRDefault="001325FD" w:rsidP="006B497A">
            <w:pPr>
              <w:jc w:val="center"/>
            </w:pPr>
            <w:r>
              <w:t xml:space="preserve">Indeks </w:t>
            </w:r>
          </w:p>
          <w:p w14:paraId="4080AA10" w14:textId="77777777" w:rsidR="00C20565" w:rsidRDefault="00C20565" w:rsidP="00C20565">
            <w:pPr>
              <w:jc w:val="center"/>
            </w:pPr>
            <w:r>
              <w:t>Plan 2025./</w:t>
            </w:r>
          </w:p>
          <w:p w14:paraId="6DE78143" w14:textId="2308FF68" w:rsidR="001325FD" w:rsidRPr="00B13DED" w:rsidRDefault="00C20565" w:rsidP="00C20565">
            <w:pPr>
              <w:jc w:val="center"/>
            </w:pPr>
            <w:r>
              <w:t>Izvršenje 2025.</w:t>
            </w:r>
          </w:p>
        </w:tc>
      </w:tr>
      <w:tr w:rsidR="001325FD" w:rsidRPr="00B13DED" w14:paraId="21D0BAB1" w14:textId="77777777" w:rsidTr="006B497A">
        <w:trPr>
          <w:trHeight w:val="1111"/>
          <w:jc w:val="center"/>
        </w:trPr>
        <w:tc>
          <w:tcPr>
            <w:tcW w:w="2829" w:type="dxa"/>
            <w:vAlign w:val="center"/>
          </w:tcPr>
          <w:p w14:paraId="4FE1298E" w14:textId="2EF9F909" w:rsidR="001325FD" w:rsidRPr="000C7BA3" w:rsidRDefault="001325FD" w:rsidP="006B497A">
            <w:pPr>
              <w:rPr>
                <w:b/>
              </w:rPr>
            </w:pPr>
            <w:r w:rsidRPr="000C7BA3">
              <w:rPr>
                <w:b/>
              </w:rPr>
              <w:t>A</w:t>
            </w:r>
            <w:r>
              <w:rPr>
                <w:b/>
              </w:rPr>
              <w:t>621183</w:t>
            </w:r>
          </w:p>
          <w:p w14:paraId="0C041471" w14:textId="7B56D130" w:rsidR="001325FD" w:rsidRPr="000C7BA3" w:rsidRDefault="001325FD" w:rsidP="006B497A">
            <w:r w:rsidRPr="001325FD">
              <w:t>Stipendije i školarine za doktorski studij</w:t>
            </w:r>
          </w:p>
        </w:tc>
        <w:tc>
          <w:tcPr>
            <w:tcW w:w="2161" w:type="dxa"/>
            <w:vAlign w:val="center"/>
          </w:tcPr>
          <w:p w14:paraId="1390DD17" w14:textId="357714FD" w:rsidR="001325FD" w:rsidRPr="00176CAC" w:rsidRDefault="001325FD" w:rsidP="006B497A">
            <w:pPr>
              <w:jc w:val="center"/>
            </w:pPr>
            <w:r w:rsidRPr="001325FD">
              <w:t>1.438</w:t>
            </w:r>
          </w:p>
        </w:tc>
        <w:tc>
          <w:tcPr>
            <w:tcW w:w="2161" w:type="dxa"/>
            <w:vAlign w:val="center"/>
          </w:tcPr>
          <w:p w14:paraId="377E6B03" w14:textId="07A022C5" w:rsidR="001325FD" w:rsidRPr="00176CAC" w:rsidRDefault="001325FD" w:rsidP="006B497A">
            <w:pPr>
              <w:jc w:val="center"/>
            </w:pPr>
            <w:r>
              <w:t>0,00</w:t>
            </w:r>
          </w:p>
        </w:tc>
        <w:tc>
          <w:tcPr>
            <w:tcW w:w="2161" w:type="dxa"/>
            <w:vAlign w:val="center"/>
          </w:tcPr>
          <w:p w14:paraId="07DC19A6" w14:textId="25629C69" w:rsidR="001325FD" w:rsidRPr="002C1363" w:rsidRDefault="001325FD" w:rsidP="006B497A">
            <w:pPr>
              <w:jc w:val="center"/>
            </w:pPr>
          </w:p>
        </w:tc>
      </w:tr>
    </w:tbl>
    <w:bookmarkEnd w:id="3"/>
    <w:p w14:paraId="3E39EF89" w14:textId="6C825859" w:rsidR="001325FD" w:rsidRDefault="001325FD" w:rsidP="00AE5FFE">
      <w:pPr>
        <w:jc w:val="both"/>
      </w:pPr>
      <w:r w:rsidRPr="001325FD">
        <w:t>Po aktivnosti</w:t>
      </w:r>
      <w:r>
        <w:t xml:space="preserve"> A621183 Stipendije i školarine za doktorski studij</w:t>
      </w:r>
      <w:r w:rsidR="00AE5FFE">
        <w:t xml:space="preserve">, iako je uvršteno u plan, </w:t>
      </w:r>
      <w:r>
        <w:t xml:space="preserve"> tijekom 2025. nije bilo rashoda financira</w:t>
      </w:r>
      <w:r w:rsidR="00AE5FFE">
        <w:t xml:space="preserve">nih iz izvora 11. </w:t>
      </w:r>
    </w:p>
    <w:p w14:paraId="6625520A" w14:textId="5A86D985" w:rsidR="001325FD" w:rsidRPr="00FB5FC3" w:rsidRDefault="00AE5FFE" w:rsidP="001325FD">
      <w:pPr>
        <w:pStyle w:val="Heading1"/>
        <w:numPr>
          <w:ilvl w:val="0"/>
          <w:numId w:val="6"/>
        </w:numPr>
        <w:ind w:left="284"/>
        <w:rPr>
          <w:sz w:val="24"/>
          <w:szCs w:val="24"/>
          <w:highlight w:val="lightGray"/>
        </w:rPr>
      </w:pPr>
      <w:r w:rsidRPr="00FB5FC3">
        <w:rPr>
          <w:sz w:val="24"/>
          <w:szCs w:val="24"/>
          <w:highlight w:val="lightGray"/>
        </w:rPr>
        <w:t>A679078</w:t>
      </w:r>
      <w:r w:rsidRPr="00FB5FC3">
        <w:rPr>
          <w:sz w:val="24"/>
          <w:szCs w:val="24"/>
          <w:highlight w:val="lightGray"/>
        </w:rPr>
        <w:tab/>
        <w:t xml:space="preserve">EU projekti </w:t>
      </w:r>
      <w:r w:rsidR="00FB5FC3">
        <w:rPr>
          <w:sz w:val="24"/>
          <w:szCs w:val="24"/>
          <w:highlight w:val="lightGray"/>
        </w:rPr>
        <w:t>S</w:t>
      </w:r>
      <w:r w:rsidRPr="00FB5FC3">
        <w:rPr>
          <w:sz w:val="24"/>
          <w:szCs w:val="24"/>
          <w:highlight w:val="lightGray"/>
        </w:rPr>
        <w:t xml:space="preserve">veučilišta u </w:t>
      </w:r>
      <w:r w:rsidR="00FB5FC3" w:rsidRPr="00FB5FC3">
        <w:rPr>
          <w:sz w:val="24"/>
          <w:szCs w:val="24"/>
          <w:highlight w:val="lightGray"/>
        </w:rPr>
        <w:t>Z</w:t>
      </w:r>
      <w:r w:rsidRPr="00FB5FC3">
        <w:rPr>
          <w:sz w:val="24"/>
          <w:szCs w:val="24"/>
          <w:highlight w:val="lightGray"/>
        </w:rPr>
        <w:t>agrebu (iz evidencijskih prihoda)</w:t>
      </w:r>
      <w:r w:rsidR="001325FD" w:rsidRPr="00FB5FC3">
        <w:rPr>
          <w:sz w:val="24"/>
          <w:szCs w:val="24"/>
          <w:highlight w:val="lightGray"/>
        </w:rPr>
        <w:t xml:space="preserve"> </w:t>
      </w:r>
    </w:p>
    <w:p w14:paraId="1F3746C8" w14:textId="77777777" w:rsidR="00786331" w:rsidRPr="00B13DED" w:rsidRDefault="002B2CC0" w:rsidP="00C85DAB">
      <w:pPr>
        <w:pStyle w:val="Heading2"/>
        <w:rPr>
          <w:szCs w:val="24"/>
        </w:rPr>
      </w:pPr>
      <w:r w:rsidRPr="00B13DED">
        <w:rPr>
          <w:szCs w:val="24"/>
        </w:rPr>
        <w:t>Zakonske i druge pravne osnove</w:t>
      </w:r>
    </w:p>
    <w:p w14:paraId="2F0A4007" w14:textId="1AB82D9F" w:rsidR="00FB5FC3" w:rsidRDefault="00FB5FC3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FB5FC3">
        <w:t>Pravilnik o korištenju sredstava Europske unije</w:t>
      </w:r>
    </w:p>
    <w:p w14:paraId="26BAF598" w14:textId="7C8B76AC" w:rsidR="00FB5FC3" w:rsidRDefault="00FB5FC3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Uputa za računovodstveno evidentiranje sredstava Europske unije</w:t>
      </w:r>
    </w:p>
    <w:p w14:paraId="0D54B1CD" w14:textId="50E2FB62" w:rsidR="008747C5" w:rsidRDefault="008747C5" w:rsidP="00C85D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Pravilnik o proračunskom računovodstvu i računskom planu </w:t>
      </w:r>
    </w:p>
    <w:p w14:paraId="2ED2B24C" w14:textId="4E4C8D91" w:rsidR="008747C5" w:rsidRDefault="008747C5" w:rsidP="00AC46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Zakon o obnovi zgrada oštećenih potresom na području Grada Zagreba,</w:t>
      </w:r>
      <w:r>
        <w:t xml:space="preserve"> </w:t>
      </w:r>
      <w:r>
        <w:t>Krapinsko-zagorske županije, Zagrebačke županije, Sisačko-moslavačke županije i</w:t>
      </w:r>
      <w:r>
        <w:t xml:space="preserve"> </w:t>
      </w:r>
      <w:r>
        <w:t>Karlovačke županije</w:t>
      </w:r>
    </w:p>
    <w:p w14:paraId="69DFC7D1" w14:textId="0599F8D6" w:rsidR="008747C5" w:rsidRDefault="008747C5" w:rsidP="008747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Pravilnik o mjerilima i načinu korištenja namjenskih prihoda proračunskih korisnika</w:t>
      </w:r>
      <w:r>
        <w:t xml:space="preserve"> </w:t>
      </w:r>
      <w:r>
        <w:t>iz nadležnosti Ministarstva znanosti, obrazovanja i mladih</w:t>
      </w:r>
    </w:p>
    <w:p w14:paraId="7EEBD413" w14:textId="19145D9E" w:rsidR="008747C5" w:rsidRPr="00B13DED" w:rsidRDefault="008747C5" w:rsidP="00BC31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Pravilnik o mjerilima i načinu korištenja nenamjenskih donacija i vlastitih prihoda</w:t>
      </w:r>
      <w:r>
        <w:t xml:space="preserve"> </w:t>
      </w:r>
      <w:r>
        <w:t>proračunskih korisnika iz nadležnosti Ministarstva znanosti, obrazovanja i mladih</w:t>
      </w:r>
    </w:p>
    <w:p w14:paraId="5B686CAB" w14:textId="0F4B03D4" w:rsidR="00786331" w:rsidRPr="00B13DED" w:rsidRDefault="00786331" w:rsidP="00582A1C"/>
    <w:p w14:paraId="1E3BB56A" w14:textId="77777777" w:rsidR="004955AD" w:rsidRPr="00B13DED" w:rsidRDefault="004955AD" w:rsidP="00C85DAB">
      <w:pPr>
        <w:pStyle w:val="Heading2"/>
        <w:rPr>
          <w:szCs w:val="24"/>
        </w:rPr>
      </w:pPr>
      <w:r w:rsidRPr="00B13DED">
        <w:rPr>
          <w:szCs w:val="24"/>
        </w:rPr>
        <w:t>Osnovni podaci</w:t>
      </w:r>
    </w:p>
    <w:tbl>
      <w:tblPr>
        <w:tblStyle w:val="a0"/>
        <w:tblW w:w="9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3"/>
        <w:gridCol w:w="1971"/>
        <w:gridCol w:w="2196"/>
        <w:gridCol w:w="2196"/>
      </w:tblGrid>
      <w:tr w:rsidR="00C20565" w:rsidRPr="00B13DED" w14:paraId="1F3746D5" w14:textId="77777777" w:rsidTr="00C20565">
        <w:trPr>
          <w:trHeight w:val="711"/>
          <w:jc w:val="center"/>
        </w:trPr>
        <w:tc>
          <w:tcPr>
            <w:tcW w:w="2803" w:type="dxa"/>
            <w:shd w:val="clear" w:color="auto" w:fill="D0CECE"/>
            <w:vAlign w:val="center"/>
          </w:tcPr>
          <w:p w14:paraId="1F3746CE" w14:textId="1EA51F16" w:rsidR="00C20565" w:rsidRPr="00B13DED" w:rsidRDefault="00C20565" w:rsidP="00C20565">
            <w:pPr>
              <w:jc w:val="both"/>
            </w:pPr>
            <w:r w:rsidRPr="00B13DED">
              <w:t>Djelatnost</w:t>
            </w:r>
          </w:p>
        </w:tc>
        <w:tc>
          <w:tcPr>
            <w:tcW w:w="1971" w:type="dxa"/>
            <w:shd w:val="clear" w:color="auto" w:fill="D0CECE"/>
            <w:vAlign w:val="center"/>
          </w:tcPr>
          <w:p w14:paraId="1F3746CF" w14:textId="71F93A24" w:rsidR="00C20565" w:rsidRPr="00B13DED" w:rsidRDefault="00C20565" w:rsidP="00C20565">
            <w:pPr>
              <w:jc w:val="center"/>
            </w:pPr>
            <w:r w:rsidRPr="002A66BF">
              <w:t>Plan 2025.</w:t>
            </w:r>
          </w:p>
        </w:tc>
        <w:tc>
          <w:tcPr>
            <w:tcW w:w="2196" w:type="dxa"/>
            <w:shd w:val="clear" w:color="auto" w:fill="D0CECE"/>
            <w:vAlign w:val="center"/>
          </w:tcPr>
          <w:p w14:paraId="1F3746D0" w14:textId="6DCEFC47" w:rsidR="00C20565" w:rsidRPr="00B13DED" w:rsidRDefault="00C20565" w:rsidP="00C20565">
            <w:pPr>
              <w:jc w:val="center"/>
            </w:pPr>
            <w:r w:rsidRPr="002A66BF">
              <w:t>Izvršenje 2025.</w:t>
            </w:r>
          </w:p>
        </w:tc>
        <w:tc>
          <w:tcPr>
            <w:tcW w:w="2196" w:type="dxa"/>
            <w:shd w:val="clear" w:color="auto" w:fill="D0CECE"/>
            <w:vAlign w:val="center"/>
          </w:tcPr>
          <w:p w14:paraId="5EB1B448" w14:textId="77777777" w:rsidR="00C20565" w:rsidRDefault="00C20565" w:rsidP="00C20565">
            <w:pPr>
              <w:jc w:val="center"/>
            </w:pPr>
            <w:r w:rsidRPr="002A66BF">
              <w:t xml:space="preserve">Indeks </w:t>
            </w:r>
          </w:p>
          <w:p w14:paraId="2153E6E3" w14:textId="625E2644" w:rsidR="00C20565" w:rsidRDefault="00C20565" w:rsidP="00C20565">
            <w:pPr>
              <w:jc w:val="center"/>
            </w:pPr>
            <w:r>
              <w:t>Plan 2025</w:t>
            </w:r>
            <w:r>
              <w:t>.</w:t>
            </w:r>
            <w:r>
              <w:t>/</w:t>
            </w:r>
          </w:p>
          <w:p w14:paraId="1F3746D1" w14:textId="50EEDF0F" w:rsidR="00C20565" w:rsidRPr="00B13DED" w:rsidRDefault="00C20565" w:rsidP="00C20565">
            <w:pPr>
              <w:jc w:val="center"/>
            </w:pPr>
            <w:r>
              <w:t>Izvršenje 2025</w:t>
            </w:r>
            <w:r>
              <w:t>.</w:t>
            </w:r>
          </w:p>
        </w:tc>
      </w:tr>
      <w:tr w:rsidR="00FB5FC3" w:rsidRPr="00B13DED" w14:paraId="1F3746DE" w14:textId="77777777" w:rsidTr="00C20565">
        <w:trPr>
          <w:trHeight w:val="1178"/>
          <w:jc w:val="center"/>
        </w:trPr>
        <w:tc>
          <w:tcPr>
            <w:tcW w:w="2803" w:type="dxa"/>
            <w:vAlign w:val="center"/>
          </w:tcPr>
          <w:p w14:paraId="484CC195" w14:textId="77777777" w:rsidR="00FB5FC3" w:rsidRDefault="00FB5FC3" w:rsidP="00FB5FC3">
            <w:r w:rsidRPr="00FB5FC3">
              <w:t>A679078</w:t>
            </w:r>
          </w:p>
          <w:p w14:paraId="1F3746D7" w14:textId="4A59D81D" w:rsidR="00FB5FC3" w:rsidRPr="00B13DED" w:rsidRDefault="00FB5FC3" w:rsidP="00FB5FC3">
            <w:r w:rsidRPr="00FB5FC3">
              <w:t xml:space="preserve">EU projekti </w:t>
            </w:r>
            <w:r>
              <w:t>S</w:t>
            </w:r>
            <w:r w:rsidRPr="00FB5FC3">
              <w:t>veučilišta u Zagrebu (iz evidencijskih prihoda)</w:t>
            </w:r>
          </w:p>
        </w:tc>
        <w:tc>
          <w:tcPr>
            <w:tcW w:w="1971" w:type="dxa"/>
            <w:vAlign w:val="center"/>
          </w:tcPr>
          <w:p w14:paraId="1F3746D8" w14:textId="2CB07BAA" w:rsidR="00FB5FC3" w:rsidRPr="00B13DED" w:rsidRDefault="00FB5FC3" w:rsidP="00FB5FC3">
            <w:pPr>
              <w:jc w:val="center"/>
              <w:rPr>
                <w:b/>
                <w:bCs/>
              </w:rPr>
            </w:pPr>
            <w:r w:rsidRPr="006D4380">
              <w:t>1.198.984</w:t>
            </w:r>
          </w:p>
        </w:tc>
        <w:tc>
          <w:tcPr>
            <w:tcW w:w="2196" w:type="dxa"/>
            <w:vAlign w:val="center"/>
          </w:tcPr>
          <w:p w14:paraId="1F3746D9" w14:textId="49EA90FE" w:rsidR="00FB5FC3" w:rsidRPr="00B13DED" w:rsidRDefault="00FB5FC3" w:rsidP="00FB5FC3">
            <w:pPr>
              <w:jc w:val="center"/>
              <w:rPr>
                <w:b/>
                <w:bCs/>
              </w:rPr>
            </w:pPr>
            <w:r w:rsidRPr="006D4380">
              <w:t>6.091.666,20</w:t>
            </w:r>
          </w:p>
        </w:tc>
        <w:tc>
          <w:tcPr>
            <w:tcW w:w="2196" w:type="dxa"/>
            <w:vAlign w:val="center"/>
          </w:tcPr>
          <w:p w14:paraId="1F3746DA" w14:textId="42C17D75" w:rsidR="00FB5FC3" w:rsidRPr="00B13DED" w:rsidRDefault="00FB5FC3" w:rsidP="00FB5FC3">
            <w:pPr>
              <w:jc w:val="center"/>
              <w:rPr>
                <w:b/>
                <w:bCs/>
              </w:rPr>
            </w:pPr>
            <w:r w:rsidRPr="00FB5FC3">
              <w:t>508%</w:t>
            </w:r>
          </w:p>
        </w:tc>
      </w:tr>
    </w:tbl>
    <w:p w14:paraId="7B55AEA9" w14:textId="38DBF451" w:rsidR="00B70E69" w:rsidRPr="00B13DED" w:rsidRDefault="00FB5FC3" w:rsidP="00B70E69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</w:pPr>
      <w:r>
        <w:t>U</w:t>
      </w:r>
      <w:r w:rsidRPr="00FB5FC3">
        <w:t xml:space="preserve"> 2025. planirani </w:t>
      </w:r>
      <w:r>
        <w:t xml:space="preserve">na aktivnosti A6799078 planiran je iznos </w:t>
      </w:r>
      <w:r w:rsidRPr="00FB5FC3">
        <w:t>od 1.198.984 €, a ostvaren</w:t>
      </w:r>
      <w:r>
        <w:t xml:space="preserve"> je iznos od </w:t>
      </w:r>
      <w:r w:rsidR="008029EF" w:rsidRPr="008029EF">
        <w:t xml:space="preserve">6.091.666 </w:t>
      </w:r>
      <w:r w:rsidRPr="00FB5FC3">
        <w:t>€. Prihodi</w:t>
      </w:r>
      <w:r w:rsidR="008029EF">
        <w:t xml:space="preserve"> i rashodi</w:t>
      </w:r>
      <w:r w:rsidRPr="00FB5FC3">
        <w:t xml:space="preserve"> s ove osnove ostvareni su na temelju aktivnih ugovora o dodjeli bespovratnih sredstava EU, direktno od Europske komisije ili putem provedbenog tijela u inozemstvu ili Hrvatskoj, u kojima fakultet sudjeluje kao koordinator, vodeći partner ili partner. S obzirom na dinamiku objave poziva za projektno financiranje, prijave i odobrenja projekata, kao i aktivnosti na projektima koji su u tijeku, ovaj izvor financiranja je kontinuirano dinamičan u smislu objektivne procjene za plan. </w:t>
      </w:r>
    </w:p>
    <w:p w14:paraId="1F374734" w14:textId="75564A63" w:rsidR="00786331" w:rsidRPr="008029EF" w:rsidRDefault="008029EF" w:rsidP="00B70E69">
      <w:pPr>
        <w:pStyle w:val="Heading1"/>
        <w:numPr>
          <w:ilvl w:val="0"/>
          <w:numId w:val="6"/>
        </w:numPr>
        <w:ind w:left="284"/>
        <w:rPr>
          <w:sz w:val="24"/>
          <w:szCs w:val="24"/>
          <w:highlight w:val="lightGray"/>
        </w:rPr>
      </w:pPr>
      <w:r w:rsidRPr="008029EF">
        <w:rPr>
          <w:sz w:val="24"/>
          <w:szCs w:val="24"/>
          <w:highlight w:val="lightGray"/>
        </w:rPr>
        <w:lastRenderedPageBreak/>
        <w:t>A679088</w:t>
      </w:r>
      <w:r w:rsidR="00314E1D" w:rsidRPr="008029EF">
        <w:rPr>
          <w:sz w:val="24"/>
          <w:szCs w:val="24"/>
          <w:highlight w:val="lightGray"/>
        </w:rPr>
        <w:tab/>
      </w:r>
      <w:r w:rsidRPr="008029EF">
        <w:rPr>
          <w:sz w:val="24"/>
          <w:szCs w:val="24"/>
          <w:highlight w:val="lightGray"/>
        </w:rPr>
        <w:t>Redovna djelatnost Sveučilišta u Zagrebu (iz evidencijskih prihoda)</w:t>
      </w:r>
    </w:p>
    <w:tbl>
      <w:tblPr>
        <w:tblStyle w:val="a0"/>
        <w:tblW w:w="9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3"/>
        <w:gridCol w:w="1971"/>
        <w:gridCol w:w="2196"/>
        <w:gridCol w:w="2196"/>
      </w:tblGrid>
      <w:tr w:rsidR="00C20565" w:rsidRPr="00B13DED" w14:paraId="6A1B7742" w14:textId="77777777" w:rsidTr="00C20565">
        <w:trPr>
          <w:trHeight w:val="711"/>
          <w:jc w:val="center"/>
        </w:trPr>
        <w:tc>
          <w:tcPr>
            <w:tcW w:w="2803" w:type="dxa"/>
            <w:shd w:val="clear" w:color="auto" w:fill="D0CECE"/>
            <w:vAlign w:val="center"/>
          </w:tcPr>
          <w:p w14:paraId="4276E1E9" w14:textId="0AB305EC" w:rsidR="00C20565" w:rsidRPr="00B13DED" w:rsidRDefault="00C20565" w:rsidP="00C20565">
            <w:pPr>
              <w:jc w:val="both"/>
            </w:pPr>
            <w:r w:rsidRPr="00F1678E">
              <w:t>Djelatnost</w:t>
            </w:r>
          </w:p>
        </w:tc>
        <w:tc>
          <w:tcPr>
            <w:tcW w:w="1971" w:type="dxa"/>
            <w:shd w:val="clear" w:color="auto" w:fill="D0CECE"/>
            <w:vAlign w:val="center"/>
          </w:tcPr>
          <w:p w14:paraId="65C57D23" w14:textId="6A1785E0" w:rsidR="00C20565" w:rsidRPr="00B13DED" w:rsidRDefault="00C20565" w:rsidP="00C20565">
            <w:pPr>
              <w:jc w:val="center"/>
            </w:pPr>
            <w:r w:rsidRPr="00F1678E">
              <w:t>Plan 2025.</w:t>
            </w:r>
          </w:p>
        </w:tc>
        <w:tc>
          <w:tcPr>
            <w:tcW w:w="2196" w:type="dxa"/>
            <w:shd w:val="clear" w:color="auto" w:fill="D0CECE"/>
            <w:vAlign w:val="center"/>
          </w:tcPr>
          <w:p w14:paraId="645E8B38" w14:textId="44459299" w:rsidR="00C20565" w:rsidRPr="00B13DED" w:rsidRDefault="00C20565" w:rsidP="00C20565">
            <w:pPr>
              <w:jc w:val="center"/>
            </w:pPr>
            <w:r w:rsidRPr="00F1678E">
              <w:t>Izvršenje 2025.</w:t>
            </w:r>
          </w:p>
        </w:tc>
        <w:tc>
          <w:tcPr>
            <w:tcW w:w="2196" w:type="dxa"/>
            <w:shd w:val="clear" w:color="auto" w:fill="D0CECE"/>
            <w:vAlign w:val="center"/>
          </w:tcPr>
          <w:p w14:paraId="1077BB47" w14:textId="77777777" w:rsidR="00C20565" w:rsidRDefault="00C20565" w:rsidP="00C20565">
            <w:pPr>
              <w:jc w:val="center"/>
            </w:pPr>
            <w:r w:rsidRPr="00F1678E">
              <w:t xml:space="preserve">Indeks </w:t>
            </w:r>
          </w:p>
          <w:p w14:paraId="5C5855C7" w14:textId="77777777" w:rsidR="00C20565" w:rsidRDefault="00C20565" w:rsidP="00C20565">
            <w:pPr>
              <w:jc w:val="center"/>
            </w:pPr>
            <w:r>
              <w:t>Plan 2025./</w:t>
            </w:r>
          </w:p>
          <w:p w14:paraId="1A0FC594" w14:textId="43DF9BF8" w:rsidR="00C20565" w:rsidRPr="00B13DED" w:rsidRDefault="00C20565" w:rsidP="00C20565">
            <w:pPr>
              <w:jc w:val="center"/>
            </w:pPr>
            <w:r>
              <w:t>Izvršenje 2025.</w:t>
            </w:r>
          </w:p>
        </w:tc>
      </w:tr>
      <w:tr w:rsidR="008029EF" w:rsidRPr="00B13DED" w14:paraId="4DF7DAA6" w14:textId="77777777" w:rsidTr="00C20565">
        <w:trPr>
          <w:trHeight w:val="1178"/>
          <w:jc w:val="center"/>
        </w:trPr>
        <w:tc>
          <w:tcPr>
            <w:tcW w:w="2803" w:type="dxa"/>
            <w:vAlign w:val="center"/>
          </w:tcPr>
          <w:p w14:paraId="3ABB1D88" w14:textId="24CE3B60" w:rsidR="008029EF" w:rsidRPr="00B13DED" w:rsidRDefault="008029EF" w:rsidP="008029EF">
            <w:pPr>
              <w:jc w:val="both"/>
            </w:pPr>
            <w:r>
              <w:t>A679088</w:t>
            </w:r>
          </w:p>
          <w:p w14:paraId="3768BC3B" w14:textId="24C42FEB" w:rsidR="008029EF" w:rsidRPr="00B13DED" w:rsidRDefault="008029EF" w:rsidP="008029EF">
            <w:r w:rsidRPr="008029EF">
              <w:t>Redovna djelatnost Sveučilišta u Zagrebu (iz evidencijskih prihoda)</w:t>
            </w:r>
          </w:p>
        </w:tc>
        <w:tc>
          <w:tcPr>
            <w:tcW w:w="1971" w:type="dxa"/>
            <w:vAlign w:val="center"/>
          </w:tcPr>
          <w:p w14:paraId="4809E465" w14:textId="523A5C90" w:rsidR="008029EF" w:rsidRPr="00B13DED" w:rsidRDefault="008029EF" w:rsidP="008029EF">
            <w:pPr>
              <w:jc w:val="center"/>
              <w:rPr>
                <w:b/>
                <w:bCs/>
              </w:rPr>
            </w:pPr>
            <w:r w:rsidRPr="004B64F0">
              <w:t>8.561.023</w:t>
            </w:r>
          </w:p>
        </w:tc>
        <w:tc>
          <w:tcPr>
            <w:tcW w:w="2196" w:type="dxa"/>
            <w:vAlign w:val="center"/>
          </w:tcPr>
          <w:p w14:paraId="3E8BE30A" w14:textId="5E982577" w:rsidR="008029EF" w:rsidRPr="00B13DED" w:rsidRDefault="008029EF" w:rsidP="008029EF">
            <w:pPr>
              <w:jc w:val="center"/>
              <w:rPr>
                <w:b/>
                <w:bCs/>
              </w:rPr>
            </w:pPr>
            <w:r w:rsidRPr="004B64F0">
              <w:t>5.295.436,65</w:t>
            </w:r>
          </w:p>
        </w:tc>
        <w:tc>
          <w:tcPr>
            <w:tcW w:w="2196" w:type="dxa"/>
            <w:vAlign w:val="center"/>
          </w:tcPr>
          <w:p w14:paraId="1791C323" w14:textId="1D79E809" w:rsidR="008029EF" w:rsidRPr="00B13DED" w:rsidRDefault="008029EF" w:rsidP="008029EF">
            <w:pPr>
              <w:jc w:val="center"/>
              <w:rPr>
                <w:b/>
                <w:bCs/>
              </w:rPr>
            </w:pPr>
            <w:r w:rsidRPr="00B13DED">
              <w:t>0</w:t>
            </w:r>
          </w:p>
        </w:tc>
      </w:tr>
    </w:tbl>
    <w:p w14:paraId="28367873" w14:textId="08E015A8" w:rsidR="00634AC2" w:rsidRPr="00B13DED" w:rsidRDefault="008029EF" w:rsidP="00C20565">
      <w:pPr>
        <w:spacing w:before="120"/>
        <w:jc w:val="both"/>
        <w:rPr>
          <w:highlight w:val="lightGray"/>
        </w:rPr>
      </w:pPr>
      <w:r>
        <w:t xml:space="preserve">Na ovoj aktivnosti </w:t>
      </w:r>
      <w:r>
        <w:t>planirali su se i ostvarivali prihodi i rashodi nužni za obavljanje redovne djelatnosti fakulteta financirane iz vlastitih prihoda (izvora 31), ostalih prihoda za posebne namjene (izvora 43), ostalih pomoći (izvor 52)</w:t>
      </w:r>
      <w:r w:rsidR="00B771A5">
        <w:t xml:space="preserve"> – aktivnost </w:t>
      </w:r>
      <w:r w:rsidR="00B771A5" w:rsidRPr="00B771A5">
        <w:t xml:space="preserve">A557042 Program doktoranada i poslijedoktoranada </w:t>
      </w:r>
      <w:r w:rsidR="00B771A5">
        <w:t>H</w:t>
      </w:r>
      <w:r w:rsidR="00B771A5" w:rsidRPr="00B771A5">
        <w:t>rvatske zaklade za znanost</w:t>
      </w:r>
      <w:r>
        <w:t>, Europskog fonda za regionalni razvoj, neovisno o tome odakle je upravljačko tijelo te donacija. Niža realizacija u odnosu na planiranu rezultat je nižeg iznosa donacija u odnosu na planirane, nižeg iznosa rashoda financiranih iz vlastitih sredstava, manjih rashoda financiranih iz namjenskih prohoda (prvenstveno zbog tijeka obnove fakulteta) ali i nižeg iznosa realiziranog iz ostalih pomoći</w:t>
      </w:r>
      <w:r w:rsidR="008747C5">
        <w:t xml:space="preserve"> (projekti Erasmus+ su od 2025. evidentirani na aktivnosti A679078).</w:t>
      </w:r>
    </w:p>
    <w:p w14:paraId="4EBE2F16" w14:textId="2C65C2CB" w:rsidR="00C20565" w:rsidRPr="00C20565" w:rsidRDefault="008747C5" w:rsidP="00C20565">
      <w:pPr>
        <w:pStyle w:val="Heading1"/>
        <w:numPr>
          <w:ilvl w:val="0"/>
          <w:numId w:val="6"/>
        </w:numPr>
        <w:ind w:left="284" w:hanging="284"/>
        <w:jc w:val="both"/>
        <w:rPr>
          <w:sz w:val="24"/>
          <w:szCs w:val="24"/>
          <w:highlight w:val="lightGray"/>
        </w:rPr>
      </w:pPr>
      <w:r w:rsidRPr="00C20565">
        <w:rPr>
          <w:sz w:val="24"/>
          <w:szCs w:val="24"/>
          <w:highlight w:val="lightGray"/>
        </w:rPr>
        <w:t>K679116 Obnova zgrada oštećenih u potresu s energetskom obnovom - NPOO (C6.1.R1-I2)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16"/>
        <w:gridCol w:w="2210"/>
        <w:gridCol w:w="2210"/>
        <w:gridCol w:w="2210"/>
      </w:tblGrid>
      <w:tr w:rsidR="00C20565" w:rsidRPr="00B13DED" w14:paraId="329E60D0" w14:textId="77777777" w:rsidTr="00C20565">
        <w:trPr>
          <w:trHeight w:val="573"/>
          <w:jc w:val="center"/>
        </w:trPr>
        <w:tc>
          <w:tcPr>
            <w:tcW w:w="2716" w:type="dxa"/>
            <w:shd w:val="clear" w:color="auto" w:fill="D0CECE"/>
            <w:vAlign w:val="center"/>
          </w:tcPr>
          <w:p w14:paraId="1FAFF123" w14:textId="3A9BA352" w:rsidR="00C20565" w:rsidRPr="00B13DED" w:rsidRDefault="00C20565" w:rsidP="00C20565">
            <w:pPr>
              <w:jc w:val="both"/>
            </w:pPr>
            <w:r w:rsidRPr="000F3F2A">
              <w:t>Djelatnost</w:t>
            </w:r>
          </w:p>
        </w:tc>
        <w:tc>
          <w:tcPr>
            <w:tcW w:w="2210" w:type="dxa"/>
            <w:shd w:val="clear" w:color="auto" w:fill="D0CECE"/>
            <w:vAlign w:val="center"/>
          </w:tcPr>
          <w:p w14:paraId="3BC28B7B" w14:textId="33DAE880" w:rsidR="00C20565" w:rsidRPr="00B13DED" w:rsidRDefault="00C20565" w:rsidP="00C20565">
            <w:pPr>
              <w:jc w:val="center"/>
            </w:pPr>
            <w:r w:rsidRPr="000F3F2A">
              <w:t>Plan 2025.</w:t>
            </w:r>
          </w:p>
        </w:tc>
        <w:tc>
          <w:tcPr>
            <w:tcW w:w="2210" w:type="dxa"/>
            <w:shd w:val="clear" w:color="auto" w:fill="D0CECE"/>
            <w:vAlign w:val="center"/>
          </w:tcPr>
          <w:p w14:paraId="316DB744" w14:textId="24179FA4" w:rsidR="00C20565" w:rsidRPr="00B13DED" w:rsidRDefault="00C20565" w:rsidP="00C20565">
            <w:pPr>
              <w:jc w:val="center"/>
            </w:pPr>
            <w:r w:rsidRPr="000F3F2A">
              <w:t>Izvršenje 2025.</w:t>
            </w:r>
          </w:p>
        </w:tc>
        <w:tc>
          <w:tcPr>
            <w:tcW w:w="2210" w:type="dxa"/>
            <w:shd w:val="clear" w:color="auto" w:fill="D0CECE"/>
            <w:vAlign w:val="center"/>
          </w:tcPr>
          <w:p w14:paraId="6C605CEB" w14:textId="77777777" w:rsidR="00C20565" w:rsidRDefault="00C20565" w:rsidP="00C20565">
            <w:pPr>
              <w:jc w:val="center"/>
            </w:pPr>
            <w:r w:rsidRPr="000F3F2A">
              <w:t xml:space="preserve">Indeks </w:t>
            </w:r>
          </w:p>
          <w:p w14:paraId="47D9957D" w14:textId="77777777" w:rsidR="00C20565" w:rsidRDefault="00C20565" w:rsidP="00C20565">
            <w:pPr>
              <w:jc w:val="center"/>
            </w:pPr>
            <w:r>
              <w:t>Plan 2025./</w:t>
            </w:r>
          </w:p>
          <w:p w14:paraId="591C6D6A" w14:textId="0148A877" w:rsidR="00C20565" w:rsidRPr="00B13DED" w:rsidRDefault="00C20565" w:rsidP="00C20565">
            <w:pPr>
              <w:jc w:val="center"/>
            </w:pPr>
            <w:r>
              <w:t>Izvršenje 2025.</w:t>
            </w:r>
          </w:p>
        </w:tc>
      </w:tr>
      <w:tr w:rsidR="008747C5" w:rsidRPr="00B13DED" w14:paraId="7D5AE5D7" w14:textId="77777777" w:rsidTr="00C20565">
        <w:trPr>
          <w:trHeight w:val="1335"/>
          <w:jc w:val="center"/>
        </w:trPr>
        <w:tc>
          <w:tcPr>
            <w:tcW w:w="2716" w:type="dxa"/>
            <w:vAlign w:val="center"/>
          </w:tcPr>
          <w:p w14:paraId="00F4D539" w14:textId="6D2E3B86" w:rsidR="008747C5" w:rsidRPr="00B13DED" w:rsidRDefault="008747C5" w:rsidP="008747C5">
            <w:r w:rsidRPr="00B13DED">
              <w:t>A</w:t>
            </w:r>
            <w:r>
              <w:t>679116</w:t>
            </w:r>
            <w:r w:rsidRPr="00B13DED">
              <w:t xml:space="preserve"> </w:t>
            </w:r>
          </w:p>
          <w:p w14:paraId="4BA48E06" w14:textId="669185DD" w:rsidR="008747C5" w:rsidRPr="00B13DED" w:rsidRDefault="008747C5" w:rsidP="008747C5">
            <w:r w:rsidRPr="008747C5">
              <w:t>Obnova zgrada oštećenih u potresu s energetskom obnovom - NPOO (C6.1.R1-I2)</w:t>
            </w:r>
          </w:p>
        </w:tc>
        <w:tc>
          <w:tcPr>
            <w:tcW w:w="2210" w:type="dxa"/>
            <w:vAlign w:val="center"/>
          </w:tcPr>
          <w:p w14:paraId="02E95D5E" w14:textId="599FB57E" w:rsidR="008747C5" w:rsidRPr="00B13DED" w:rsidRDefault="008747C5" w:rsidP="008747C5">
            <w:pPr>
              <w:jc w:val="center"/>
              <w:rPr>
                <w:b/>
                <w:bCs/>
              </w:rPr>
            </w:pPr>
            <w:r w:rsidRPr="00946076">
              <w:t>17.537.533</w:t>
            </w:r>
          </w:p>
        </w:tc>
        <w:tc>
          <w:tcPr>
            <w:tcW w:w="2210" w:type="dxa"/>
            <w:vAlign w:val="center"/>
          </w:tcPr>
          <w:p w14:paraId="4DAF8E47" w14:textId="7CB2CD5E" w:rsidR="008747C5" w:rsidRPr="00B13DED" w:rsidRDefault="008747C5" w:rsidP="008747C5">
            <w:pPr>
              <w:jc w:val="center"/>
              <w:rPr>
                <w:b/>
                <w:bCs/>
              </w:rPr>
            </w:pPr>
            <w:r w:rsidRPr="00946076">
              <w:t>9.397.717,16</w:t>
            </w:r>
          </w:p>
        </w:tc>
        <w:tc>
          <w:tcPr>
            <w:tcW w:w="2210" w:type="dxa"/>
            <w:vAlign w:val="center"/>
          </w:tcPr>
          <w:p w14:paraId="62F21D4C" w14:textId="3D62F1A9" w:rsidR="008747C5" w:rsidRPr="008747C5" w:rsidRDefault="008747C5" w:rsidP="008747C5">
            <w:pPr>
              <w:jc w:val="center"/>
              <w:rPr>
                <w:bCs/>
              </w:rPr>
            </w:pPr>
            <w:r w:rsidRPr="008747C5">
              <w:rPr>
                <w:bCs/>
              </w:rPr>
              <w:t>54%</w:t>
            </w:r>
          </w:p>
        </w:tc>
      </w:tr>
    </w:tbl>
    <w:p w14:paraId="08DAE23D" w14:textId="17DDB72A" w:rsidR="008747C5" w:rsidRDefault="008747C5" w:rsidP="008747C5">
      <w:pPr>
        <w:rPr>
          <w:highlight w:val="lightGray"/>
        </w:rPr>
      </w:pPr>
    </w:p>
    <w:p w14:paraId="2FC886C6" w14:textId="24184EE7" w:rsidR="008747C5" w:rsidRDefault="008747C5" w:rsidP="008747C5">
      <w:pPr>
        <w:jc w:val="both"/>
      </w:pPr>
      <w:r w:rsidRPr="00C20565">
        <w:t>Obnova zgrada fakulteta je u glavnini dovršena tijekom 2025. godine, ali razlog za nižu realizaciju u odnosu na plan leži prije svega u drugačijem računovodstvenom tretmanu potraživanja u odnosu na ranija razdoblja te u još nerealiziranim zahtjevima za nadoknadom sredstava.</w:t>
      </w:r>
      <w:r w:rsidR="00B771A5">
        <w:t xml:space="preserve"> Aktivnost koja se još koristila za obnovu je A679119</w:t>
      </w:r>
      <w:r w:rsidR="00B771A5" w:rsidRPr="00B771A5">
        <w:t xml:space="preserve"> </w:t>
      </w:r>
      <w:r w:rsidR="00B771A5">
        <w:t>O</w:t>
      </w:r>
      <w:r w:rsidR="00B771A5" w:rsidRPr="00B771A5">
        <w:t>bnova zgrada oštećenih u potresu s energetskom obnovom - NPOO (C6.1.R1-I2)</w:t>
      </w:r>
      <w:r w:rsidR="00B771A5">
        <w:t xml:space="preserve"> i to za dio troška obnove koji je iz proračuna dodijeljen fakultetu ali temeljem odobrenog zajma proračunu a koji je evidentiran na izvoru 815.</w:t>
      </w:r>
    </w:p>
    <w:p w14:paraId="6CBEF2A1" w14:textId="6F52D521" w:rsidR="00C20565" w:rsidRDefault="00C20565" w:rsidP="00C20565">
      <w:pPr>
        <w:pStyle w:val="Heading1"/>
        <w:numPr>
          <w:ilvl w:val="0"/>
          <w:numId w:val="6"/>
        </w:numPr>
        <w:ind w:left="284" w:hanging="284"/>
        <w:jc w:val="both"/>
        <w:rPr>
          <w:sz w:val="24"/>
          <w:szCs w:val="24"/>
          <w:highlight w:val="lightGray"/>
        </w:rPr>
      </w:pPr>
      <w:r w:rsidRPr="00C20565">
        <w:rPr>
          <w:sz w:val="24"/>
          <w:szCs w:val="24"/>
          <w:highlight w:val="lightGray"/>
        </w:rPr>
        <w:t>K679128</w:t>
      </w:r>
      <w:r w:rsidRPr="00C20565">
        <w:rPr>
          <w:sz w:val="24"/>
          <w:szCs w:val="24"/>
          <w:highlight w:val="lightGray"/>
        </w:rPr>
        <w:tab/>
        <w:t>POBOLJŠANJE UČINKOVITOSTI JAVNIH ULAGANJA NA PODRUČJU ISTRAŽIVANJA, RAZVOJA I INOVACIJA - NPOO (C3.2.R3)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16"/>
        <w:gridCol w:w="2210"/>
        <w:gridCol w:w="2210"/>
        <w:gridCol w:w="2210"/>
      </w:tblGrid>
      <w:tr w:rsidR="00C20565" w:rsidRPr="00B13DED" w14:paraId="7C31A52B" w14:textId="77777777" w:rsidTr="006B497A">
        <w:trPr>
          <w:trHeight w:val="573"/>
          <w:jc w:val="center"/>
        </w:trPr>
        <w:tc>
          <w:tcPr>
            <w:tcW w:w="2716" w:type="dxa"/>
            <w:shd w:val="clear" w:color="auto" w:fill="D0CECE"/>
            <w:vAlign w:val="center"/>
          </w:tcPr>
          <w:p w14:paraId="2322F326" w14:textId="77777777" w:rsidR="00C20565" w:rsidRPr="00B13DED" w:rsidRDefault="00C20565" w:rsidP="006B497A">
            <w:pPr>
              <w:jc w:val="both"/>
            </w:pPr>
            <w:r w:rsidRPr="00B13DED">
              <w:t>Djelatnost</w:t>
            </w:r>
          </w:p>
        </w:tc>
        <w:tc>
          <w:tcPr>
            <w:tcW w:w="2210" w:type="dxa"/>
            <w:shd w:val="clear" w:color="auto" w:fill="D0CECE"/>
            <w:vAlign w:val="center"/>
          </w:tcPr>
          <w:p w14:paraId="0ED6B0C8" w14:textId="7482BBBB" w:rsidR="00C20565" w:rsidRPr="00B13DED" w:rsidRDefault="00C20565" w:rsidP="006B497A">
            <w:pPr>
              <w:jc w:val="center"/>
            </w:pPr>
            <w:r w:rsidRPr="000F3F2A">
              <w:t>Plan 2025.</w:t>
            </w:r>
          </w:p>
        </w:tc>
        <w:tc>
          <w:tcPr>
            <w:tcW w:w="2210" w:type="dxa"/>
            <w:shd w:val="clear" w:color="auto" w:fill="D0CECE"/>
            <w:vAlign w:val="center"/>
          </w:tcPr>
          <w:p w14:paraId="5D489011" w14:textId="6CD337E1" w:rsidR="00C20565" w:rsidRPr="00C20565" w:rsidRDefault="00C20565" w:rsidP="006B497A">
            <w:pPr>
              <w:jc w:val="center"/>
              <w:rPr>
                <w:b/>
              </w:rPr>
            </w:pPr>
            <w:r w:rsidRPr="000F3F2A">
              <w:t>Izvršenje 2025.</w:t>
            </w:r>
          </w:p>
        </w:tc>
        <w:tc>
          <w:tcPr>
            <w:tcW w:w="2210" w:type="dxa"/>
            <w:shd w:val="clear" w:color="auto" w:fill="D0CECE"/>
            <w:vAlign w:val="center"/>
          </w:tcPr>
          <w:p w14:paraId="4024B76F" w14:textId="77777777" w:rsidR="00C20565" w:rsidRDefault="00C20565" w:rsidP="00C20565">
            <w:pPr>
              <w:jc w:val="center"/>
            </w:pPr>
            <w:r>
              <w:t>Indeks</w:t>
            </w:r>
          </w:p>
          <w:p w14:paraId="7D9CC93D" w14:textId="70C13BEC" w:rsidR="00C20565" w:rsidRDefault="00C20565" w:rsidP="00C20565">
            <w:pPr>
              <w:jc w:val="center"/>
            </w:pPr>
            <w:r>
              <w:t>Plan 2025./</w:t>
            </w:r>
          </w:p>
          <w:p w14:paraId="43CBCAD8" w14:textId="02E13102" w:rsidR="00C20565" w:rsidRPr="00B13DED" w:rsidRDefault="00C20565" w:rsidP="00C20565">
            <w:pPr>
              <w:jc w:val="center"/>
            </w:pPr>
            <w:r>
              <w:t>Izvršenje 2025.</w:t>
            </w:r>
          </w:p>
        </w:tc>
      </w:tr>
      <w:tr w:rsidR="00C20565" w:rsidRPr="00B13DED" w14:paraId="7677F7BA" w14:textId="77777777" w:rsidTr="006B497A">
        <w:trPr>
          <w:trHeight w:val="1335"/>
          <w:jc w:val="center"/>
        </w:trPr>
        <w:tc>
          <w:tcPr>
            <w:tcW w:w="2716" w:type="dxa"/>
            <w:vAlign w:val="center"/>
          </w:tcPr>
          <w:p w14:paraId="179A679F" w14:textId="299C59F1" w:rsidR="00C20565" w:rsidRPr="00B13DED" w:rsidRDefault="00C20565" w:rsidP="006B497A">
            <w:r w:rsidRPr="00B13DED">
              <w:t>A</w:t>
            </w:r>
            <w:r>
              <w:t>679</w:t>
            </w:r>
            <w:r>
              <w:t>128</w:t>
            </w:r>
            <w:r w:rsidRPr="00B13DED">
              <w:t xml:space="preserve"> </w:t>
            </w:r>
          </w:p>
          <w:p w14:paraId="19860220" w14:textId="44D25E0B" w:rsidR="00C20565" w:rsidRPr="00B13DED" w:rsidRDefault="00C20565" w:rsidP="006B497A">
            <w:r w:rsidRPr="00C20565">
              <w:t xml:space="preserve">Poboljšanje učinkovitosti javnih ulaganja na području istraživanja, </w:t>
            </w:r>
            <w:r w:rsidRPr="00C20565">
              <w:lastRenderedPageBreak/>
              <w:t>razvoja i inovacija - NPOO (C3.2.R3)</w:t>
            </w:r>
          </w:p>
        </w:tc>
        <w:tc>
          <w:tcPr>
            <w:tcW w:w="2210" w:type="dxa"/>
            <w:vAlign w:val="center"/>
          </w:tcPr>
          <w:p w14:paraId="450C446A" w14:textId="20E225A7" w:rsidR="00C20565" w:rsidRPr="00B13DED" w:rsidRDefault="00C20565" w:rsidP="006B497A">
            <w:pPr>
              <w:jc w:val="center"/>
              <w:rPr>
                <w:b/>
                <w:bCs/>
              </w:rPr>
            </w:pPr>
            <w:r>
              <w:lastRenderedPageBreak/>
              <w:t>961.304</w:t>
            </w:r>
          </w:p>
        </w:tc>
        <w:tc>
          <w:tcPr>
            <w:tcW w:w="2210" w:type="dxa"/>
            <w:vAlign w:val="center"/>
          </w:tcPr>
          <w:p w14:paraId="02A97898" w14:textId="37C4ED00" w:rsidR="00C20565" w:rsidRPr="00B13DED" w:rsidRDefault="00C20565" w:rsidP="006B497A">
            <w:pPr>
              <w:jc w:val="center"/>
              <w:rPr>
                <w:b/>
                <w:bCs/>
              </w:rPr>
            </w:pPr>
            <w:r>
              <w:t>1.625.599,64</w:t>
            </w:r>
          </w:p>
        </w:tc>
        <w:tc>
          <w:tcPr>
            <w:tcW w:w="2210" w:type="dxa"/>
            <w:vAlign w:val="center"/>
          </w:tcPr>
          <w:p w14:paraId="3A8409C7" w14:textId="0803C115" w:rsidR="00C20565" w:rsidRPr="008747C5" w:rsidRDefault="00C20565" w:rsidP="006B497A">
            <w:pPr>
              <w:jc w:val="center"/>
              <w:rPr>
                <w:bCs/>
              </w:rPr>
            </w:pPr>
            <w:r>
              <w:rPr>
                <w:bCs/>
              </w:rPr>
              <w:t>169</w:t>
            </w:r>
          </w:p>
        </w:tc>
      </w:tr>
    </w:tbl>
    <w:p w14:paraId="57C73FDC" w14:textId="35B2CCB3" w:rsidR="00C20565" w:rsidRPr="00C20565" w:rsidRDefault="00C20565" w:rsidP="00C20565">
      <w:pPr>
        <w:spacing w:before="120"/>
        <w:jc w:val="both"/>
        <w:rPr>
          <w:highlight w:val="lightGray"/>
        </w:rPr>
      </w:pPr>
      <w:r>
        <w:t>Na ovoj aktivnosti</w:t>
      </w:r>
      <w:r w:rsidRPr="00C20565">
        <w:t xml:space="preserve"> ostvar</w:t>
      </w:r>
      <w:r>
        <w:t>uju se prihodi i rashodi</w:t>
      </w:r>
      <w:r w:rsidRPr="00C20565">
        <w:t xml:space="preserve"> za pokrivanje troškova projekata financiranih iz Nacionalnog programa za oporavak i otpornost kojima fakultet nije upravljačko tijelo,</w:t>
      </w:r>
      <w:r>
        <w:t xml:space="preserve"> te institucionalnih projekata uključenih u programske ugovore</w:t>
      </w:r>
      <w:r w:rsidR="00B771A5">
        <w:t xml:space="preserve">. Uz ovu aktivnost dio prihoda i rashoda se evidentira i na aktivnost </w:t>
      </w:r>
      <w:r w:rsidR="00B771A5" w:rsidRPr="00B771A5">
        <w:t>A733073</w:t>
      </w:r>
      <w:r w:rsidRPr="00C20565">
        <w:t xml:space="preserve"> </w:t>
      </w:r>
      <w:r w:rsidR="00B771A5">
        <w:t>P</w:t>
      </w:r>
      <w:r w:rsidR="00B771A5" w:rsidRPr="00B771A5">
        <w:t>rogram razvoja karijera mladih istraživača - izobrazba novih doktora znanosti - NPOO (C3.2. R2-I1 )</w:t>
      </w:r>
      <w:r w:rsidRPr="00C20565">
        <w:t xml:space="preserve"> Hrvatske zaklade za znanost. U odnosu na 2024. ovi su rashodi su 5 puta veći prije svega zbog projekata odobrenih u 2025., a financiranih iz ovog izvora.</w:t>
      </w:r>
    </w:p>
    <w:p w14:paraId="04429E95" w14:textId="7B7ED484" w:rsidR="00EE188E" w:rsidRPr="00B13DED" w:rsidRDefault="00E81776" w:rsidP="00976BD1">
      <w:pPr>
        <w:spacing w:before="360" w:after="120"/>
        <w:jc w:val="both"/>
      </w:pPr>
      <w:r w:rsidRPr="00B13DED">
        <w:t xml:space="preserve">Zagreb, </w:t>
      </w:r>
      <w:r w:rsidR="00B771A5">
        <w:t>25.03.2026</w:t>
      </w:r>
      <w:r w:rsidRPr="00B13DED">
        <w:t>.</w:t>
      </w:r>
    </w:p>
    <w:p w14:paraId="73A21597" w14:textId="6DA70008" w:rsidR="00EE188E" w:rsidRPr="00B13DED" w:rsidRDefault="00EE188E" w:rsidP="00C85DAB">
      <w:pPr>
        <w:jc w:val="both"/>
      </w:pP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="00976BD1" w:rsidRPr="00B13DED">
        <w:t xml:space="preserve">    </w:t>
      </w:r>
      <w:r w:rsidRPr="00B13DED">
        <w:t>Dekan</w:t>
      </w:r>
    </w:p>
    <w:p w14:paraId="2C5CC015" w14:textId="415E70FA" w:rsidR="00976BD1" w:rsidRPr="00B13DED" w:rsidRDefault="00976BD1" w:rsidP="00976BD1">
      <w:pPr>
        <w:spacing w:before="360"/>
        <w:jc w:val="both"/>
      </w:pP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  <w:t>_______________________</w:t>
      </w:r>
    </w:p>
    <w:p w14:paraId="6913D198" w14:textId="2DC52DB1" w:rsidR="00EE188E" w:rsidRPr="00B13DED" w:rsidRDefault="00EE188E" w:rsidP="00C85DAB">
      <w:pPr>
        <w:jc w:val="both"/>
      </w:pP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Pr="00B13DED">
        <w:tab/>
      </w:r>
      <w:r w:rsidR="00385F22" w:rsidRPr="00B13DED">
        <w:tab/>
      </w:r>
      <w:r w:rsidRPr="00B13DED">
        <w:tab/>
        <w:t>Prof.dr.sc. Zdenko Tonković</w:t>
      </w:r>
      <w:r w:rsidRPr="00B13DED">
        <w:tab/>
      </w:r>
      <w:r w:rsidRPr="00B13DED">
        <w:tab/>
      </w:r>
      <w:r w:rsidRPr="00B13DED">
        <w:tab/>
      </w:r>
      <w:r w:rsidRPr="00B13DED">
        <w:tab/>
      </w:r>
      <w:bookmarkStart w:id="4" w:name="_GoBack"/>
      <w:bookmarkEnd w:id="4"/>
    </w:p>
    <w:sectPr w:rsidR="00EE188E" w:rsidRPr="00B13DED"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9A72D" w14:textId="77777777" w:rsidR="00393F47" w:rsidRDefault="00393F47">
      <w:r>
        <w:separator/>
      </w:r>
    </w:p>
  </w:endnote>
  <w:endnote w:type="continuationSeparator" w:id="0">
    <w:p w14:paraId="7C6D9208" w14:textId="77777777" w:rsidR="00393F47" w:rsidRDefault="003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483A" w14:textId="79721CB9" w:rsidR="00253CF1" w:rsidRDefault="00253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1F37483B" w14:textId="77777777" w:rsidR="00253CF1" w:rsidRDefault="00253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46878" w14:textId="77777777" w:rsidR="00393F47" w:rsidRDefault="00393F47">
      <w:r>
        <w:separator/>
      </w:r>
    </w:p>
  </w:footnote>
  <w:footnote w:type="continuationSeparator" w:id="0">
    <w:p w14:paraId="6D35E59A" w14:textId="77777777" w:rsidR="00393F47" w:rsidRDefault="0039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35F"/>
    <w:multiLevelType w:val="multilevel"/>
    <w:tmpl w:val="066A7E2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1D6A32"/>
    <w:multiLevelType w:val="hybridMultilevel"/>
    <w:tmpl w:val="A1DE6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3459"/>
    <w:multiLevelType w:val="hybridMultilevel"/>
    <w:tmpl w:val="7DF23806"/>
    <w:lvl w:ilvl="0" w:tplc="B94AD8B2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6685" w:hanging="360"/>
      </w:pPr>
    </w:lvl>
    <w:lvl w:ilvl="2" w:tplc="041A001B" w:tentative="1">
      <w:start w:val="1"/>
      <w:numFmt w:val="lowerRoman"/>
      <w:lvlText w:val="%3."/>
      <w:lvlJc w:val="right"/>
      <w:pPr>
        <w:ind w:left="7405" w:hanging="180"/>
      </w:pPr>
    </w:lvl>
    <w:lvl w:ilvl="3" w:tplc="041A000F" w:tentative="1">
      <w:start w:val="1"/>
      <w:numFmt w:val="decimal"/>
      <w:lvlText w:val="%4."/>
      <w:lvlJc w:val="left"/>
      <w:pPr>
        <w:ind w:left="8125" w:hanging="360"/>
      </w:pPr>
    </w:lvl>
    <w:lvl w:ilvl="4" w:tplc="041A0019" w:tentative="1">
      <w:start w:val="1"/>
      <w:numFmt w:val="lowerLetter"/>
      <w:lvlText w:val="%5."/>
      <w:lvlJc w:val="left"/>
      <w:pPr>
        <w:ind w:left="8845" w:hanging="360"/>
      </w:pPr>
    </w:lvl>
    <w:lvl w:ilvl="5" w:tplc="041A001B" w:tentative="1">
      <w:start w:val="1"/>
      <w:numFmt w:val="lowerRoman"/>
      <w:lvlText w:val="%6."/>
      <w:lvlJc w:val="right"/>
      <w:pPr>
        <w:ind w:left="9565" w:hanging="180"/>
      </w:pPr>
    </w:lvl>
    <w:lvl w:ilvl="6" w:tplc="041A000F" w:tentative="1">
      <w:start w:val="1"/>
      <w:numFmt w:val="decimal"/>
      <w:lvlText w:val="%7."/>
      <w:lvlJc w:val="left"/>
      <w:pPr>
        <w:ind w:left="10285" w:hanging="360"/>
      </w:pPr>
    </w:lvl>
    <w:lvl w:ilvl="7" w:tplc="041A0019" w:tentative="1">
      <w:start w:val="1"/>
      <w:numFmt w:val="lowerLetter"/>
      <w:lvlText w:val="%8."/>
      <w:lvlJc w:val="left"/>
      <w:pPr>
        <w:ind w:left="11005" w:hanging="360"/>
      </w:pPr>
    </w:lvl>
    <w:lvl w:ilvl="8" w:tplc="041A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3" w15:restartNumberingAfterBreak="0">
    <w:nsid w:val="1DD77B8A"/>
    <w:multiLevelType w:val="multilevel"/>
    <w:tmpl w:val="6A90704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0C5"/>
    <w:multiLevelType w:val="multilevel"/>
    <w:tmpl w:val="FC5289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E2319"/>
    <w:multiLevelType w:val="hybridMultilevel"/>
    <w:tmpl w:val="7C264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1"/>
    <w:rsid w:val="00003498"/>
    <w:rsid w:val="000034F8"/>
    <w:rsid w:val="00014708"/>
    <w:rsid w:val="0004789C"/>
    <w:rsid w:val="0006021C"/>
    <w:rsid w:val="00064678"/>
    <w:rsid w:val="0006613C"/>
    <w:rsid w:val="00070673"/>
    <w:rsid w:val="000A164C"/>
    <w:rsid w:val="000A4AE7"/>
    <w:rsid w:val="000C3447"/>
    <w:rsid w:val="000C5266"/>
    <w:rsid w:val="000C54E9"/>
    <w:rsid w:val="000C7BA3"/>
    <w:rsid w:val="000F3941"/>
    <w:rsid w:val="00127AE8"/>
    <w:rsid w:val="001325FD"/>
    <w:rsid w:val="0013344E"/>
    <w:rsid w:val="00133DE9"/>
    <w:rsid w:val="001340C1"/>
    <w:rsid w:val="00142A26"/>
    <w:rsid w:val="001545BD"/>
    <w:rsid w:val="00154854"/>
    <w:rsid w:val="001665AF"/>
    <w:rsid w:val="001868CF"/>
    <w:rsid w:val="00191188"/>
    <w:rsid w:val="00195F96"/>
    <w:rsid w:val="001A357B"/>
    <w:rsid w:val="001A40A1"/>
    <w:rsid w:val="001B104E"/>
    <w:rsid w:val="001B32A1"/>
    <w:rsid w:val="001C43B0"/>
    <w:rsid w:val="001C59C8"/>
    <w:rsid w:val="001E1D98"/>
    <w:rsid w:val="001F00DC"/>
    <w:rsid w:val="00214BD1"/>
    <w:rsid w:val="00220FB6"/>
    <w:rsid w:val="00225751"/>
    <w:rsid w:val="002358F2"/>
    <w:rsid w:val="002529DE"/>
    <w:rsid w:val="00253CF1"/>
    <w:rsid w:val="002808F6"/>
    <w:rsid w:val="00281846"/>
    <w:rsid w:val="00293046"/>
    <w:rsid w:val="002A2F0D"/>
    <w:rsid w:val="002B2CC0"/>
    <w:rsid w:val="002C1363"/>
    <w:rsid w:val="002C5A0D"/>
    <w:rsid w:val="002D65B8"/>
    <w:rsid w:val="00301DD5"/>
    <w:rsid w:val="00302963"/>
    <w:rsid w:val="00307114"/>
    <w:rsid w:val="00314E1D"/>
    <w:rsid w:val="00327887"/>
    <w:rsid w:val="003564A5"/>
    <w:rsid w:val="00362752"/>
    <w:rsid w:val="00363FEE"/>
    <w:rsid w:val="0037668D"/>
    <w:rsid w:val="00376EF0"/>
    <w:rsid w:val="00380EC4"/>
    <w:rsid w:val="00381EA4"/>
    <w:rsid w:val="00385F22"/>
    <w:rsid w:val="00393392"/>
    <w:rsid w:val="00393F47"/>
    <w:rsid w:val="003A35AF"/>
    <w:rsid w:val="003A3DC7"/>
    <w:rsid w:val="003B40E1"/>
    <w:rsid w:val="003C5CCC"/>
    <w:rsid w:val="003E18C6"/>
    <w:rsid w:val="003E1C70"/>
    <w:rsid w:val="003E4CD3"/>
    <w:rsid w:val="003E698D"/>
    <w:rsid w:val="003F370B"/>
    <w:rsid w:val="003F4181"/>
    <w:rsid w:val="00400FFA"/>
    <w:rsid w:val="00403411"/>
    <w:rsid w:val="00413858"/>
    <w:rsid w:val="00421C55"/>
    <w:rsid w:val="00422769"/>
    <w:rsid w:val="00426C16"/>
    <w:rsid w:val="0047431A"/>
    <w:rsid w:val="00481252"/>
    <w:rsid w:val="00490251"/>
    <w:rsid w:val="00494436"/>
    <w:rsid w:val="00495198"/>
    <w:rsid w:val="004955AD"/>
    <w:rsid w:val="004977D2"/>
    <w:rsid w:val="004A1218"/>
    <w:rsid w:val="004A2522"/>
    <w:rsid w:val="004E01A7"/>
    <w:rsid w:val="00501077"/>
    <w:rsid w:val="00523770"/>
    <w:rsid w:val="005239BC"/>
    <w:rsid w:val="0053285B"/>
    <w:rsid w:val="005378EF"/>
    <w:rsid w:val="00537E80"/>
    <w:rsid w:val="0054185E"/>
    <w:rsid w:val="00543BDB"/>
    <w:rsid w:val="00554767"/>
    <w:rsid w:val="0055732E"/>
    <w:rsid w:val="0057640B"/>
    <w:rsid w:val="00576F74"/>
    <w:rsid w:val="00582A1C"/>
    <w:rsid w:val="005B4FC1"/>
    <w:rsid w:val="005C138C"/>
    <w:rsid w:val="005C33B3"/>
    <w:rsid w:val="005C68C5"/>
    <w:rsid w:val="005D647C"/>
    <w:rsid w:val="005E223D"/>
    <w:rsid w:val="005F0842"/>
    <w:rsid w:val="00601866"/>
    <w:rsid w:val="00603C9F"/>
    <w:rsid w:val="00623664"/>
    <w:rsid w:val="00634AC2"/>
    <w:rsid w:val="006540B6"/>
    <w:rsid w:val="006544AF"/>
    <w:rsid w:val="00663CD9"/>
    <w:rsid w:val="0068221E"/>
    <w:rsid w:val="006A7017"/>
    <w:rsid w:val="006A70BB"/>
    <w:rsid w:val="006B3EB8"/>
    <w:rsid w:val="006B60D6"/>
    <w:rsid w:val="006C307E"/>
    <w:rsid w:val="006D08C9"/>
    <w:rsid w:val="006D3753"/>
    <w:rsid w:val="006D468C"/>
    <w:rsid w:val="006E0D24"/>
    <w:rsid w:val="006F00AE"/>
    <w:rsid w:val="006F5109"/>
    <w:rsid w:val="00702924"/>
    <w:rsid w:val="00716693"/>
    <w:rsid w:val="00725998"/>
    <w:rsid w:val="00726C29"/>
    <w:rsid w:val="007324AA"/>
    <w:rsid w:val="0074265A"/>
    <w:rsid w:val="0074506E"/>
    <w:rsid w:val="00745483"/>
    <w:rsid w:val="00770E35"/>
    <w:rsid w:val="007769D1"/>
    <w:rsid w:val="00786331"/>
    <w:rsid w:val="00791CE9"/>
    <w:rsid w:val="007C0757"/>
    <w:rsid w:val="007E3E66"/>
    <w:rsid w:val="007E61E8"/>
    <w:rsid w:val="007F48EE"/>
    <w:rsid w:val="007F4CED"/>
    <w:rsid w:val="008029EF"/>
    <w:rsid w:val="008120FE"/>
    <w:rsid w:val="008205FD"/>
    <w:rsid w:val="0082203B"/>
    <w:rsid w:val="00823BC8"/>
    <w:rsid w:val="008368D2"/>
    <w:rsid w:val="008428B1"/>
    <w:rsid w:val="00870682"/>
    <w:rsid w:val="00872EC3"/>
    <w:rsid w:val="00874589"/>
    <w:rsid w:val="008747C5"/>
    <w:rsid w:val="008850CB"/>
    <w:rsid w:val="00892643"/>
    <w:rsid w:val="008A02F7"/>
    <w:rsid w:val="008C2696"/>
    <w:rsid w:val="008D6094"/>
    <w:rsid w:val="00904782"/>
    <w:rsid w:val="00913E64"/>
    <w:rsid w:val="00914AE5"/>
    <w:rsid w:val="00915AAE"/>
    <w:rsid w:val="00923B89"/>
    <w:rsid w:val="00944CD4"/>
    <w:rsid w:val="00946112"/>
    <w:rsid w:val="009518BB"/>
    <w:rsid w:val="0095249C"/>
    <w:rsid w:val="00964622"/>
    <w:rsid w:val="00976BD1"/>
    <w:rsid w:val="00983D20"/>
    <w:rsid w:val="00992581"/>
    <w:rsid w:val="00996993"/>
    <w:rsid w:val="009A3707"/>
    <w:rsid w:val="009B0142"/>
    <w:rsid w:val="009C040D"/>
    <w:rsid w:val="009D1924"/>
    <w:rsid w:val="009E0517"/>
    <w:rsid w:val="009E4628"/>
    <w:rsid w:val="009F0966"/>
    <w:rsid w:val="00A30EE1"/>
    <w:rsid w:val="00A3681C"/>
    <w:rsid w:val="00A418BB"/>
    <w:rsid w:val="00A45889"/>
    <w:rsid w:val="00A47B97"/>
    <w:rsid w:val="00A6735A"/>
    <w:rsid w:val="00A734A8"/>
    <w:rsid w:val="00AB2340"/>
    <w:rsid w:val="00AD2FD4"/>
    <w:rsid w:val="00AE5FFE"/>
    <w:rsid w:val="00AF24A3"/>
    <w:rsid w:val="00AF5069"/>
    <w:rsid w:val="00B13DED"/>
    <w:rsid w:val="00B30F5F"/>
    <w:rsid w:val="00B313EF"/>
    <w:rsid w:val="00B52F2E"/>
    <w:rsid w:val="00B6216A"/>
    <w:rsid w:val="00B65C3A"/>
    <w:rsid w:val="00B70E69"/>
    <w:rsid w:val="00B771A5"/>
    <w:rsid w:val="00BC5E3D"/>
    <w:rsid w:val="00BF69B2"/>
    <w:rsid w:val="00C20565"/>
    <w:rsid w:val="00C26956"/>
    <w:rsid w:val="00C3369D"/>
    <w:rsid w:val="00C60276"/>
    <w:rsid w:val="00C6293E"/>
    <w:rsid w:val="00C647C5"/>
    <w:rsid w:val="00C85DAB"/>
    <w:rsid w:val="00C94AD6"/>
    <w:rsid w:val="00CA50A4"/>
    <w:rsid w:val="00CA5197"/>
    <w:rsid w:val="00CF2EEF"/>
    <w:rsid w:val="00CF5FC3"/>
    <w:rsid w:val="00D02066"/>
    <w:rsid w:val="00D35A92"/>
    <w:rsid w:val="00D63052"/>
    <w:rsid w:val="00D6465B"/>
    <w:rsid w:val="00D700A7"/>
    <w:rsid w:val="00D959E4"/>
    <w:rsid w:val="00D96859"/>
    <w:rsid w:val="00DC75F4"/>
    <w:rsid w:val="00DD0357"/>
    <w:rsid w:val="00DD60B7"/>
    <w:rsid w:val="00DD6780"/>
    <w:rsid w:val="00DE292D"/>
    <w:rsid w:val="00DF0383"/>
    <w:rsid w:val="00E23607"/>
    <w:rsid w:val="00E300DF"/>
    <w:rsid w:val="00E573D2"/>
    <w:rsid w:val="00E740D2"/>
    <w:rsid w:val="00E81776"/>
    <w:rsid w:val="00E966AF"/>
    <w:rsid w:val="00EA2A80"/>
    <w:rsid w:val="00EC2067"/>
    <w:rsid w:val="00ED2644"/>
    <w:rsid w:val="00EE0EC6"/>
    <w:rsid w:val="00EE188E"/>
    <w:rsid w:val="00F01073"/>
    <w:rsid w:val="00F06630"/>
    <w:rsid w:val="00F201C0"/>
    <w:rsid w:val="00F27630"/>
    <w:rsid w:val="00F31068"/>
    <w:rsid w:val="00F31CF9"/>
    <w:rsid w:val="00F42DE7"/>
    <w:rsid w:val="00F4321D"/>
    <w:rsid w:val="00F44549"/>
    <w:rsid w:val="00F561D7"/>
    <w:rsid w:val="00F711FA"/>
    <w:rsid w:val="00F82060"/>
    <w:rsid w:val="00F851E2"/>
    <w:rsid w:val="00F862F3"/>
    <w:rsid w:val="00FA1764"/>
    <w:rsid w:val="00FA6CCD"/>
    <w:rsid w:val="00FB28CD"/>
    <w:rsid w:val="00FB5FC3"/>
    <w:rsid w:val="00FD199A"/>
    <w:rsid w:val="00FE5CB0"/>
    <w:rsid w:val="00FF4ECB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4697"/>
  <w15:docId w15:val="{545F6682-989B-4336-9982-1FAE6ED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FFE"/>
    <w:rPr>
      <w:lang w:eastAsia="en-GB"/>
    </w:rPr>
  </w:style>
  <w:style w:type="paragraph" w:styleId="Heading1">
    <w:name w:val="heading 1"/>
    <w:basedOn w:val="Normal"/>
    <w:next w:val="Normal"/>
    <w:uiPriority w:val="9"/>
    <w:qFormat/>
    <w:rsid w:val="008A02F7"/>
    <w:pPr>
      <w:keepNext/>
      <w:keepLines/>
      <w:spacing w:before="240" w:after="240"/>
      <w:outlineLvl w:val="0"/>
    </w:pPr>
    <w:rPr>
      <w:b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073"/>
    <w:pPr>
      <w:keepNext/>
      <w:keepLines/>
      <w:spacing w:before="120" w:after="120"/>
      <w:outlineLvl w:val="1"/>
    </w:pPr>
    <w:rPr>
      <w:b/>
      <w:i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A02F7"/>
    <w:pPr>
      <w:keepNext/>
      <w:keepLines/>
      <w:spacing w:before="480" w:after="480"/>
      <w:jc w:val="right"/>
    </w:pPr>
    <w:rPr>
      <w:b/>
      <w:sz w:val="28"/>
      <w:szCs w:val="72"/>
    </w:rPr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C51C46"/>
  </w:style>
  <w:style w:type="paragraph" w:styleId="Normal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C4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D7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2C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2C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63FEE"/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164C"/>
    <w:rPr>
      <w:b/>
      <w:i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a76af9-5ab6-4c48-b433-4b99fd0dbf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AF6B817E4B344BFFDCC97CBDB3EE5" ma:contentTypeVersion="9" ma:contentTypeDescription="Create a new document." ma:contentTypeScope="" ma:versionID="e08d2683ea9e0d523d40539faf062b77">
  <xsd:schema xmlns:xsd="http://www.w3.org/2001/XMLSchema" xmlns:xs="http://www.w3.org/2001/XMLSchema" xmlns:p="http://schemas.microsoft.com/office/2006/metadata/properties" xmlns:ns3="86a76af9-5ab6-4c48-b433-4b99fd0dbf0a" targetNamespace="http://schemas.microsoft.com/office/2006/metadata/properties" ma:root="true" ma:fieldsID="5f6a1d45faef915422de5c06ef6fe377" ns3:_="">
    <xsd:import namespace="86a76af9-5ab6-4c48-b433-4b99fd0dbf0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6af9-5ab6-4c48-b433-4b99fd0dbf0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Ad++9IUiorOGI/m88wkmaih57Q==">AMUW2mXf2bT9u+NljwIJBEsUgK3DOJca1JFM25hoFQHhmQNVfKDPCpG6FzGTNBdbZ4nLsKVhiqN8jw3w9WJfzMBRD0cANovXPfgMmB352ucVwG6UYnYpEAFlkMBDgd67o0u1sXeay0Rs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3D3E-1BC7-49F9-B4BD-584354C3190E}">
  <ds:schemaRefs>
    <ds:schemaRef ds:uri="http://www.w3.org/XML/1998/namespace"/>
    <ds:schemaRef ds:uri="http://schemas.openxmlformats.org/package/2006/metadata/core-properties"/>
    <ds:schemaRef ds:uri="http://purl.org/dc/dcmitype/"/>
    <ds:schemaRef ds:uri="86a76af9-5ab6-4c48-b433-4b99fd0dbf0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18966E-EEEE-4016-B2A7-039AFF018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D516-BD97-400E-9751-7B59EA777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76af9-5ab6-4c48-b433-4b99fd0db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F7F867E-7FE9-4AE1-A46D-AB18B775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Morana Jerković</cp:lastModifiedBy>
  <cp:revision>5</cp:revision>
  <cp:lastPrinted>2025-03-31T13:22:00Z</cp:lastPrinted>
  <dcterms:created xsi:type="dcterms:W3CDTF">2026-03-24T12:03:00Z</dcterms:created>
  <dcterms:modified xsi:type="dcterms:W3CDTF">2026-03-25T22:23:00Z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0x0101005D8AF6B817E4B344BFFDCC97CBDB3EE5</vt:lpwstr>
  </property>
</Properties>
</file>