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588B4" w14:textId="780871AD" w:rsidR="00B55A24" w:rsidRPr="00C1336B" w:rsidRDefault="000F0A3A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1336B">
        <w:rPr>
          <w:rFonts w:ascii="Times New Roman" w:hAnsi="Times New Roman"/>
          <w:b/>
          <w:bCs/>
          <w:sz w:val="24"/>
          <w:szCs w:val="24"/>
        </w:rPr>
        <w:tab/>
      </w:r>
      <w:r w:rsidR="0078208D" w:rsidRPr="00C1336B">
        <w:rPr>
          <w:rFonts w:ascii="Times New Roman" w:hAnsi="Times New Roman"/>
          <w:b/>
          <w:bCs/>
          <w:sz w:val="24"/>
          <w:szCs w:val="24"/>
        </w:rPr>
        <w:tab/>
      </w:r>
      <w:r w:rsidR="0078208D" w:rsidRPr="00C1336B">
        <w:rPr>
          <w:rFonts w:ascii="Times New Roman" w:hAnsi="Times New Roman"/>
          <w:b/>
          <w:bCs/>
          <w:sz w:val="24"/>
          <w:szCs w:val="24"/>
        </w:rPr>
        <w:tab/>
      </w:r>
      <w:r w:rsidR="00BC26A6" w:rsidRPr="00C1336B">
        <w:rPr>
          <w:rFonts w:ascii="Times New Roman" w:hAnsi="Times New Roman"/>
          <w:b/>
          <w:bCs/>
          <w:sz w:val="24"/>
          <w:szCs w:val="24"/>
        </w:rPr>
        <w:tab/>
      </w:r>
      <w:r w:rsidR="001E46E6" w:rsidRPr="00C1336B">
        <w:rPr>
          <w:rFonts w:ascii="Times New Roman" w:hAnsi="Times New Roman"/>
          <w:b/>
          <w:bCs/>
          <w:sz w:val="24"/>
          <w:szCs w:val="24"/>
        </w:rPr>
        <w:tab/>
      </w:r>
    </w:p>
    <w:p w14:paraId="5D8A59E0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A6C337" w14:textId="77777777" w:rsidR="00B55A24" w:rsidRPr="00C1336B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C1336B">
        <w:rPr>
          <w:rFonts w:ascii="Times New Roman" w:hAnsi="Times New Roman"/>
          <w:b/>
          <w:bCs/>
          <w:sz w:val="24"/>
          <w:szCs w:val="24"/>
        </w:rPr>
        <w:t>SVEUČILIŠT</w:t>
      </w:r>
      <w:r w:rsidR="00A81F0E" w:rsidRPr="00C1336B">
        <w:rPr>
          <w:rFonts w:ascii="Times New Roman" w:hAnsi="Times New Roman"/>
          <w:b/>
          <w:bCs/>
          <w:sz w:val="24"/>
          <w:szCs w:val="24"/>
        </w:rPr>
        <w:t xml:space="preserve">E U ZAGREBU </w:t>
      </w:r>
      <w:r w:rsidR="00B91D3B" w:rsidRPr="00C1336B">
        <w:rPr>
          <w:rFonts w:ascii="Times New Roman" w:hAnsi="Times New Roman"/>
          <w:b/>
          <w:bCs/>
          <w:sz w:val="24"/>
          <w:szCs w:val="24"/>
        </w:rPr>
        <w:t>FAKULTET STROJARSTVA I BRODOGRADNJE</w:t>
      </w:r>
    </w:p>
    <w:p w14:paraId="5B9BCA7A" w14:textId="77777777" w:rsidR="00A81F0E" w:rsidRPr="00C1336B" w:rsidRDefault="00B91D3B" w:rsidP="007A41A7">
      <w:pPr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>IVANA LUČIĆA 5</w:t>
      </w:r>
    </w:p>
    <w:p w14:paraId="02B39EB0" w14:textId="77777777" w:rsidR="00A81F0E" w:rsidRPr="00C1336B" w:rsidRDefault="00A81F0E" w:rsidP="007A41A7">
      <w:pPr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>10000 ZAGREB</w:t>
      </w:r>
    </w:p>
    <w:p w14:paraId="3FDB7CC9" w14:textId="77777777" w:rsidR="00A81F0E" w:rsidRPr="00C1336B" w:rsidRDefault="00A81F0E" w:rsidP="007A41A7">
      <w:pPr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 xml:space="preserve">OIB: </w:t>
      </w:r>
      <w:r w:rsidR="00B91D3B" w:rsidRPr="00C1336B">
        <w:rPr>
          <w:rFonts w:ascii="Times New Roman" w:hAnsi="Times New Roman"/>
          <w:sz w:val="24"/>
          <w:szCs w:val="24"/>
        </w:rPr>
        <w:t>22910368449</w:t>
      </w:r>
    </w:p>
    <w:p w14:paraId="624F035C" w14:textId="77777777" w:rsidR="007A41A7" w:rsidRPr="00C1336B" w:rsidRDefault="007A41A7" w:rsidP="007A41A7">
      <w:pPr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>RKP: 01</w:t>
      </w:r>
      <w:r w:rsidR="00B91D3B" w:rsidRPr="00C1336B">
        <w:rPr>
          <w:rFonts w:ascii="Times New Roman" w:hAnsi="Times New Roman"/>
          <w:sz w:val="24"/>
          <w:szCs w:val="24"/>
        </w:rPr>
        <w:t>829</w:t>
      </w:r>
    </w:p>
    <w:p w14:paraId="0C40D730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8BFC18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52EC46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3F252D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8210D4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CC7AEC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DCDE38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0ADA60" w14:textId="77777777" w:rsidR="00383DEF" w:rsidRPr="00C1336B" w:rsidRDefault="00383DEF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45EE86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DC5EE6" w14:textId="77777777" w:rsidR="00B55A24" w:rsidRPr="00C1336B" w:rsidRDefault="00B55A24" w:rsidP="00C55CF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317DAF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AFA480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469B25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BA8959" w14:textId="77777777" w:rsidR="00B55A24" w:rsidRPr="00C1336B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14:paraId="7C33E9EE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A23E0D" w14:textId="5B39368F" w:rsidR="00B55A24" w:rsidRPr="00C1336B" w:rsidRDefault="003A63E8" w:rsidP="00CD138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3A63E8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0C0826">
        <w:rPr>
          <w:rFonts w:ascii="Times New Roman" w:hAnsi="Times New Roman" w:cs="Times New Roman"/>
          <w:sz w:val="24"/>
          <w:szCs w:val="24"/>
        </w:rPr>
        <w:t xml:space="preserve">IZVRŠENJA </w:t>
      </w:r>
      <w:r w:rsidRPr="003A63E8">
        <w:rPr>
          <w:rFonts w:ascii="Times New Roman" w:hAnsi="Times New Roman" w:cs="Times New Roman"/>
          <w:sz w:val="24"/>
          <w:szCs w:val="24"/>
        </w:rPr>
        <w:t xml:space="preserve">OPĆEG DIJELA FINANCIJSKOG PLANA ZA </w:t>
      </w:r>
      <w:r w:rsidR="000C0826">
        <w:rPr>
          <w:rFonts w:ascii="Times New Roman" w:hAnsi="Times New Roman" w:cs="Times New Roman"/>
          <w:sz w:val="24"/>
          <w:szCs w:val="24"/>
        </w:rPr>
        <w:t>2025.</w:t>
      </w:r>
      <w:r w:rsidRPr="003A63E8">
        <w:rPr>
          <w:rFonts w:ascii="Times New Roman" w:hAnsi="Times New Roman" w:cs="Times New Roman"/>
          <w:sz w:val="24"/>
          <w:szCs w:val="24"/>
        </w:rPr>
        <w:t xml:space="preserve"> </w:t>
      </w:r>
      <w:r w:rsidR="00B45631">
        <w:rPr>
          <w:rFonts w:ascii="Times New Roman" w:hAnsi="Times New Roman" w:cs="Times New Roman"/>
          <w:sz w:val="24"/>
          <w:szCs w:val="24"/>
        </w:rPr>
        <w:t>GODINU</w:t>
      </w:r>
    </w:p>
    <w:p w14:paraId="6D097086" w14:textId="77777777" w:rsidR="00CD138E" w:rsidRPr="00C1336B" w:rsidRDefault="00CD138E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337CD2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0F48671F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67A8DA24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3C574AA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9197293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404D62EB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3D8B253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B3E1C00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8C523F5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E0166CA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6D125BA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0A14250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579C690" w14:textId="77777777" w:rsidR="00A81F0E" w:rsidRPr="00C1336B" w:rsidRDefault="00A81F0E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1BC35170" w14:textId="77777777" w:rsidR="00B55A24" w:rsidRPr="00C1336B" w:rsidRDefault="00B55A2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C1336B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F180856" w14:textId="55354ADA" w:rsidR="00B55A24" w:rsidRPr="00C1336B" w:rsidRDefault="00B55A24" w:rsidP="00E428DE">
      <w:pPr>
        <w:pStyle w:val="Heading1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C1336B">
        <w:rPr>
          <w:rFonts w:ascii="Times New Roman" w:hAnsi="Times New Roman" w:cs="Times New Roman"/>
          <w:szCs w:val="24"/>
        </w:rPr>
        <w:lastRenderedPageBreak/>
        <w:t xml:space="preserve">PRIHODI </w:t>
      </w:r>
      <w:r w:rsidR="003D155B">
        <w:rPr>
          <w:rFonts w:ascii="Times New Roman" w:hAnsi="Times New Roman" w:cs="Times New Roman"/>
          <w:szCs w:val="24"/>
        </w:rPr>
        <w:t>I PRIMICI</w:t>
      </w:r>
    </w:p>
    <w:p w14:paraId="5E3B4FC3" w14:textId="77777777" w:rsidR="000753F0" w:rsidRDefault="00B55A24" w:rsidP="000753F0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C1336B">
        <w:rPr>
          <w:rFonts w:ascii="Times New Roman" w:hAnsi="Times New Roman"/>
          <w:b/>
          <w:bCs/>
          <w:sz w:val="24"/>
          <w:szCs w:val="24"/>
        </w:rPr>
        <w:t xml:space="preserve">Ukupno </w:t>
      </w:r>
      <w:r w:rsidR="00325A9F">
        <w:rPr>
          <w:rFonts w:ascii="Times New Roman" w:hAnsi="Times New Roman"/>
          <w:b/>
          <w:bCs/>
          <w:sz w:val="24"/>
          <w:szCs w:val="24"/>
        </w:rPr>
        <w:t>planirani</w:t>
      </w:r>
      <w:r w:rsidR="00B877D3" w:rsidRPr="00C1336B">
        <w:rPr>
          <w:rFonts w:ascii="Times New Roman" w:hAnsi="Times New Roman"/>
          <w:b/>
          <w:bCs/>
          <w:sz w:val="24"/>
          <w:szCs w:val="24"/>
        </w:rPr>
        <w:t xml:space="preserve"> p</w:t>
      </w:r>
      <w:r w:rsidRPr="00C1336B">
        <w:rPr>
          <w:rFonts w:ascii="Times New Roman" w:hAnsi="Times New Roman"/>
          <w:b/>
          <w:bCs/>
          <w:sz w:val="24"/>
          <w:szCs w:val="24"/>
        </w:rPr>
        <w:t xml:space="preserve">rihodi </w:t>
      </w:r>
      <w:r w:rsidR="00325A9F">
        <w:rPr>
          <w:rFonts w:ascii="Times New Roman" w:hAnsi="Times New Roman"/>
          <w:b/>
          <w:bCs/>
          <w:sz w:val="24"/>
          <w:szCs w:val="24"/>
        </w:rPr>
        <w:t xml:space="preserve">za </w:t>
      </w:r>
      <w:r w:rsidR="000C0826">
        <w:rPr>
          <w:rFonts w:ascii="Times New Roman" w:hAnsi="Times New Roman"/>
          <w:b/>
          <w:bCs/>
          <w:sz w:val="24"/>
          <w:szCs w:val="24"/>
        </w:rPr>
        <w:t>2025</w:t>
      </w:r>
      <w:r w:rsidR="00D33ECB" w:rsidRPr="00C1336B">
        <w:rPr>
          <w:rFonts w:ascii="Times New Roman" w:hAnsi="Times New Roman"/>
          <w:b/>
          <w:bCs/>
          <w:sz w:val="24"/>
          <w:szCs w:val="24"/>
        </w:rPr>
        <w:t>.</w:t>
      </w:r>
      <w:r w:rsidR="00325A9F">
        <w:rPr>
          <w:rFonts w:ascii="Times New Roman" w:hAnsi="Times New Roman"/>
          <w:b/>
          <w:bCs/>
          <w:sz w:val="24"/>
          <w:szCs w:val="24"/>
        </w:rPr>
        <w:t xml:space="preserve"> godin</w:t>
      </w:r>
      <w:r w:rsidR="000C0826">
        <w:rPr>
          <w:rFonts w:ascii="Times New Roman" w:hAnsi="Times New Roman"/>
          <w:b/>
          <w:bCs/>
          <w:sz w:val="24"/>
          <w:szCs w:val="24"/>
        </w:rPr>
        <w:t>u</w:t>
      </w:r>
      <w:r w:rsidR="00325A9F">
        <w:rPr>
          <w:rFonts w:ascii="Times New Roman" w:hAnsi="Times New Roman"/>
          <w:b/>
          <w:bCs/>
          <w:sz w:val="24"/>
          <w:szCs w:val="24"/>
        </w:rPr>
        <w:t xml:space="preserve"> iznose</w:t>
      </w:r>
      <w:r w:rsidR="00CA73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53F0" w:rsidRPr="000753F0">
        <w:rPr>
          <w:rFonts w:ascii="Times New Roman" w:hAnsi="Times New Roman"/>
          <w:b/>
          <w:bCs/>
          <w:sz w:val="24"/>
          <w:szCs w:val="24"/>
        </w:rPr>
        <w:t>42.127.528</w:t>
      </w:r>
      <w:r w:rsidR="00E82B3B">
        <w:rPr>
          <w:rFonts w:ascii="Times New Roman" w:hAnsi="Times New Roman"/>
          <w:b/>
          <w:bCs/>
          <w:sz w:val="24"/>
          <w:szCs w:val="24"/>
        </w:rPr>
        <w:t xml:space="preserve"> €</w:t>
      </w:r>
      <w:r w:rsidR="000753F0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7D4F6C5E" w14:textId="48EA444F" w:rsidR="0013508F" w:rsidRDefault="000753F0" w:rsidP="00C93B0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p</w:t>
      </w:r>
      <w:r w:rsidR="0013508F">
        <w:rPr>
          <w:rFonts w:ascii="Times New Roman" w:hAnsi="Times New Roman"/>
          <w:sz w:val="24"/>
          <w:szCs w:val="24"/>
        </w:rPr>
        <w:t>rihod</w:t>
      </w:r>
      <w:r>
        <w:rPr>
          <w:rFonts w:ascii="Times New Roman" w:hAnsi="Times New Roman"/>
          <w:sz w:val="24"/>
          <w:szCs w:val="24"/>
        </w:rPr>
        <w:t>a je</w:t>
      </w:r>
      <w:r w:rsidR="0013508F">
        <w:rPr>
          <w:rFonts w:ascii="Times New Roman" w:hAnsi="Times New Roman"/>
          <w:sz w:val="24"/>
          <w:szCs w:val="24"/>
        </w:rPr>
        <w:t xml:space="preserve"> u potpunosti usklađen </w:t>
      </w:r>
      <w:r w:rsidR="00A75AB4">
        <w:rPr>
          <w:rFonts w:ascii="Times New Roman" w:hAnsi="Times New Roman"/>
          <w:sz w:val="24"/>
          <w:szCs w:val="24"/>
        </w:rPr>
        <w:t xml:space="preserve">s prijedlogom </w:t>
      </w:r>
      <w:r w:rsidR="00DA0C48">
        <w:rPr>
          <w:rFonts w:ascii="Times New Roman" w:hAnsi="Times New Roman"/>
          <w:sz w:val="24"/>
          <w:szCs w:val="24"/>
        </w:rPr>
        <w:t>Programskog ugovora</w:t>
      </w:r>
      <w:r w:rsidR="00C93B00" w:rsidRPr="00E71098">
        <w:rPr>
          <w:rFonts w:ascii="Times New Roman" w:hAnsi="Times New Roman"/>
          <w:sz w:val="24"/>
          <w:szCs w:val="24"/>
        </w:rPr>
        <w:t xml:space="preserve"> za razdo</w:t>
      </w:r>
      <w:r w:rsidR="00E71098" w:rsidRPr="00E71098">
        <w:rPr>
          <w:rFonts w:ascii="Times New Roman" w:hAnsi="Times New Roman"/>
          <w:sz w:val="24"/>
          <w:szCs w:val="24"/>
        </w:rPr>
        <w:t xml:space="preserve">blje 2025-2029. </w:t>
      </w:r>
      <w:r w:rsidR="00C93B00" w:rsidRPr="00E71098">
        <w:rPr>
          <w:rFonts w:ascii="Times New Roman" w:hAnsi="Times New Roman"/>
          <w:sz w:val="24"/>
          <w:szCs w:val="24"/>
        </w:rPr>
        <w:t xml:space="preserve">s kojim </w:t>
      </w:r>
      <w:r>
        <w:rPr>
          <w:rFonts w:ascii="Times New Roman" w:hAnsi="Times New Roman"/>
          <w:sz w:val="24"/>
          <w:szCs w:val="24"/>
        </w:rPr>
        <w:t>je</w:t>
      </w:r>
      <w:r w:rsidR="00C93B00" w:rsidRPr="00E71098">
        <w:rPr>
          <w:rFonts w:ascii="Times New Roman" w:hAnsi="Times New Roman"/>
          <w:sz w:val="24"/>
          <w:szCs w:val="24"/>
        </w:rPr>
        <w:t xml:space="preserve"> </w:t>
      </w:r>
      <w:r w:rsidR="00C93B00" w:rsidRPr="00C93B00">
        <w:rPr>
          <w:rFonts w:ascii="Times New Roman" w:hAnsi="Times New Roman"/>
          <w:sz w:val="24"/>
          <w:szCs w:val="24"/>
        </w:rPr>
        <w:t>ugov</w:t>
      </w:r>
      <w:r w:rsidR="001A18C3">
        <w:rPr>
          <w:rFonts w:ascii="Times New Roman" w:hAnsi="Times New Roman"/>
          <w:sz w:val="24"/>
          <w:szCs w:val="24"/>
        </w:rPr>
        <w:t>o</w:t>
      </w:r>
      <w:r w:rsidR="00C93B00" w:rsidRPr="00C93B00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eno</w:t>
      </w:r>
      <w:r w:rsidR="00C93B00" w:rsidRPr="00C93B00">
        <w:rPr>
          <w:rFonts w:ascii="Times New Roman" w:hAnsi="Times New Roman"/>
          <w:sz w:val="24"/>
          <w:szCs w:val="24"/>
        </w:rPr>
        <w:t xml:space="preserve"> višegodišnje</w:t>
      </w:r>
      <w:r w:rsidR="00C93B00">
        <w:rPr>
          <w:rFonts w:ascii="Times New Roman" w:hAnsi="Times New Roman"/>
          <w:sz w:val="24"/>
          <w:szCs w:val="24"/>
        </w:rPr>
        <w:t xml:space="preserve"> fi</w:t>
      </w:r>
      <w:r w:rsidR="00C93B00" w:rsidRPr="00C93B00">
        <w:rPr>
          <w:rFonts w:ascii="Times New Roman" w:hAnsi="Times New Roman"/>
          <w:sz w:val="24"/>
          <w:szCs w:val="24"/>
        </w:rPr>
        <w:t>nanciranje osnovne, razvojne i izvedbene proračunske</w:t>
      </w:r>
      <w:r w:rsidR="00C93B00">
        <w:rPr>
          <w:rFonts w:ascii="Times New Roman" w:hAnsi="Times New Roman"/>
          <w:sz w:val="24"/>
          <w:szCs w:val="24"/>
        </w:rPr>
        <w:t xml:space="preserve"> </w:t>
      </w:r>
      <w:r w:rsidR="00C93B00" w:rsidRPr="00C93B00">
        <w:rPr>
          <w:rFonts w:ascii="Times New Roman" w:hAnsi="Times New Roman"/>
          <w:sz w:val="24"/>
          <w:szCs w:val="24"/>
        </w:rPr>
        <w:t>komponente javnog visokog učilišta sredstvima državnog proračuna</w:t>
      </w:r>
      <w:r w:rsidR="00C93B00">
        <w:rPr>
          <w:rFonts w:ascii="Times New Roman" w:hAnsi="Times New Roman"/>
          <w:sz w:val="24"/>
          <w:szCs w:val="24"/>
        </w:rPr>
        <w:t xml:space="preserve"> </w:t>
      </w:r>
      <w:r w:rsidR="00C93B00" w:rsidRPr="00C93B00">
        <w:rPr>
          <w:rFonts w:ascii="Times New Roman" w:hAnsi="Times New Roman"/>
          <w:sz w:val="24"/>
          <w:szCs w:val="24"/>
        </w:rPr>
        <w:t>Republike Hrvatske</w:t>
      </w:r>
      <w:r w:rsidR="00C93B00">
        <w:rPr>
          <w:rFonts w:ascii="Times New Roman" w:hAnsi="Times New Roman"/>
          <w:sz w:val="24"/>
          <w:szCs w:val="24"/>
        </w:rPr>
        <w:t xml:space="preserve"> kao i učešće u financiranju razvojne i izvedbene proračunske komponente ostalim vlastitim i namjenskim primicima, a </w:t>
      </w:r>
      <w:r w:rsidR="00D723AD">
        <w:rPr>
          <w:rFonts w:ascii="Times New Roman" w:hAnsi="Times New Roman"/>
          <w:sz w:val="24"/>
          <w:szCs w:val="24"/>
        </w:rPr>
        <w:t xml:space="preserve">na temelju </w:t>
      </w:r>
      <w:r w:rsidR="00D723AD" w:rsidRPr="00D723AD">
        <w:rPr>
          <w:rFonts w:ascii="Times New Roman" w:hAnsi="Times New Roman"/>
          <w:sz w:val="24"/>
          <w:szCs w:val="24"/>
        </w:rPr>
        <w:t>Uredb</w:t>
      </w:r>
      <w:r w:rsidR="00D723AD">
        <w:rPr>
          <w:rFonts w:ascii="Times New Roman" w:hAnsi="Times New Roman"/>
          <w:sz w:val="24"/>
          <w:szCs w:val="24"/>
        </w:rPr>
        <w:t>e</w:t>
      </w:r>
      <w:r w:rsidR="00D723AD" w:rsidRPr="00D723AD">
        <w:rPr>
          <w:rFonts w:ascii="Times New Roman" w:hAnsi="Times New Roman"/>
          <w:sz w:val="24"/>
          <w:szCs w:val="24"/>
        </w:rPr>
        <w:t xml:space="preserve"> o programskom </w:t>
      </w:r>
      <w:r w:rsidR="00D723AD">
        <w:rPr>
          <w:rFonts w:ascii="Times New Roman" w:hAnsi="Times New Roman"/>
          <w:sz w:val="24"/>
          <w:szCs w:val="24"/>
        </w:rPr>
        <w:t>fi</w:t>
      </w:r>
      <w:r w:rsidR="00D723AD" w:rsidRPr="00D723AD">
        <w:rPr>
          <w:rFonts w:ascii="Times New Roman" w:hAnsi="Times New Roman"/>
          <w:sz w:val="24"/>
          <w:szCs w:val="24"/>
        </w:rPr>
        <w:t>nanciranju javnih visokih učilišta i javnih znanstvenih instituta u Republici Hrvatsko</w:t>
      </w:r>
      <w:r w:rsidR="00D723AD">
        <w:rPr>
          <w:rFonts w:ascii="Times New Roman" w:hAnsi="Times New Roman"/>
          <w:sz w:val="24"/>
          <w:szCs w:val="24"/>
        </w:rPr>
        <w:t xml:space="preserve">j. </w:t>
      </w:r>
    </w:p>
    <w:p w14:paraId="3294D5C5" w14:textId="3C0A836C" w:rsidR="00754EC8" w:rsidRDefault="00754EC8" w:rsidP="00BB320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54EC8">
        <w:rPr>
          <w:rFonts w:ascii="Times New Roman" w:hAnsi="Times New Roman"/>
          <w:b/>
          <w:bCs/>
          <w:sz w:val="24"/>
          <w:szCs w:val="24"/>
        </w:rPr>
        <w:t>Ukupno ostvareni prihodi u 2025. iznose</w:t>
      </w:r>
      <w:r w:rsidR="000753F0" w:rsidRPr="00754E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320E" w:rsidRPr="00754EC8">
        <w:rPr>
          <w:rFonts w:ascii="Times New Roman" w:hAnsi="Times New Roman"/>
          <w:b/>
          <w:bCs/>
          <w:sz w:val="24"/>
          <w:szCs w:val="24"/>
        </w:rPr>
        <w:t>46.690.</w:t>
      </w:r>
      <w:r>
        <w:rPr>
          <w:rFonts w:ascii="Times New Roman" w:hAnsi="Times New Roman"/>
          <w:b/>
          <w:bCs/>
          <w:sz w:val="24"/>
          <w:szCs w:val="24"/>
        </w:rPr>
        <w:t>031</w:t>
      </w:r>
      <w:r w:rsidR="00BB320E" w:rsidRPr="00754EC8">
        <w:rPr>
          <w:rFonts w:ascii="Times New Roman" w:hAnsi="Times New Roman"/>
          <w:b/>
          <w:bCs/>
          <w:sz w:val="24"/>
          <w:szCs w:val="24"/>
        </w:rPr>
        <w:t xml:space="preserve"> €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71D36317" w14:textId="4B673498" w:rsidR="00BB320E" w:rsidRPr="002D0AF1" w:rsidRDefault="00754EC8" w:rsidP="00754EC8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754EC8">
        <w:rPr>
          <w:rFonts w:ascii="Times New Roman" w:hAnsi="Times New Roman"/>
          <w:sz w:val="24"/>
          <w:szCs w:val="24"/>
        </w:rPr>
        <w:t xml:space="preserve">Prihodi su ostvareni </w:t>
      </w:r>
      <w:r w:rsidR="00BB320E" w:rsidRPr="00754EC8">
        <w:rPr>
          <w:rFonts w:ascii="Times New Roman" w:hAnsi="Times New Roman"/>
          <w:sz w:val="24"/>
          <w:szCs w:val="24"/>
        </w:rPr>
        <w:t xml:space="preserve">za </w:t>
      </w:r>
      <w:r w:rsidR="00B8411A" w:rsidRPr="00754EC8">
        <w:rPr>
          <w:rFonts w:ascii="Times New Roman" w:hAnsi="Times New Roman"/>
          <w:sz w:val="24"/>
          <w:szCs w:val="24"/>
        </w:rPr>
        <w:t xml:space="preserve">11% više od </w:t>
      </w:r>
      <w:r w:rsidR="000D6B4F" w:rsidRPr="00754EC8">
        <w:rPr>
          <w:rFonts w:ascii="Times New Roman" w:hAnsi="Times New Roman"/>
          <w:sz w:val="24"/>
          <w:szCs w:val="24"/>
        </w:rPr>
        <w:t>planiranih</w:t>
      </w:r>
      <w:r w:rsidR="000D6B4F" w:rsidRPr="002D0AF1">
        <w:rPr>
          <w:rFonts w:ascii="Times New Roman" w:hAnsi="Times New Roman"/>
          <w:sz w:val="24"/>
          <w:szCs w:val="24"/>
        </w:rPr>
        <w:t>.</w:t>
      </w:r>
      <w:r w:rsidR="006C41D9" w:rsidRPr="002D0AF1">
        <w:rPr>
          <w:rFonts w:ascii="Times New Roman" w:hAnsi="Times New Roman"/>
          <w:sz w:val="24"/>
          <w:szCs w:val="24"/>
        </w:rPr>
        <w:t xml:space="preserve"> U odnosu na 2024. </w:t>
      </w:r>
      <w:r>
        <w:rPr>
          <w:rFonts w:ascii="Times New Roman" w:hAnsi="Times New Roman"/>
          <w:sz w:val="24"/>
          <w:szCs w:val="24"/>
        </w:rPr>
        <w:t>prihodi</w:t>
      </w:r>
      <w:r w:rsidR="006C41D9" w:rsidRPr="002D0AF1">
        <w:rPr>
          <w:rFonts w:ascii="Times New Roman" w:hAnsi="Times New Roman"/>
          <w:sz w:val="24"/>
          <w:szCs w:val="24"/>
        </w:rPr>
        <w:t xml:space="preserve"> su za </w:t>
      </w:r>
      <w:r w:rsidR="007311AA" w:rsidRPr="002D0AF1">
        <w:rPr>
          <w:rFonts w:ascii="Times New Roman" w:hAnsi="Times New Roman"/>
          <w:sz w:val="24"/>
          <w:szCs w:val="24"/>
        </w:rPr>
        <w:t>6% viši</w:t>
      </w:r>
      <w:r w:rsidR="001B5C4A" w:rsidRPr="002D0AF1">
        <w:rPr>
          <w:rFonts w:ascii="Times New Roman" w:hAnsi="Times New Roman"/>
          <w:sz w:val="24"/>
          <w:szCs w:val="24"/>
        </w:rPr>
        <w:t xml:space="preserve">. Razlozi </w:t>
      </w:r>
      <w:r w:rsidR="002D0AF1" w:rsidRPr="002D0AF1">
        <w:rPr>
          <w:rFonts w:ascii="Times New Roman" w:hAnsi="Times New Roman"/>
          <w:sz w:val="24"/>
          <w:szCs w:val="24"/>
        </w:rPr>
        <w:t>za prihode ostvarene više od planiranih</w:t>
      </w:r>
      <w:r>
        <w:rPr>
          <w:rFonts w:ascii="Times New Roman" w:hAnsi="Times New Roman"/>
          <w:sz w:val="24"/>
          <w:szCs w:val="24"/>
        </w:rPr>
        <w:t xml:space="preserve"> za 2025.</w:t>
      </w:r>
      <w:r w:rsidR="002D0AF1" w:rsidRPr="002D0AF1">
        <w:rPr>
          <w:rFonts w:ascii="Times New Roman" w:hAnsi="Times New Roman"/>
          <w:sz w:val="24"/>
          <w:szCs w:val="24"/>
        </w:rPr>
        <w:t xml:space="preserve"> kao i za više u odnosu na 2024. godinu r</w:t>
      </w:r>
      <w:r w:rsidR="001B5C4A" w:rsidRPr="002D0AF1">
        <w:rPr>
          <w:rFonts w:ascii="Times New Roman" w:hAnsi="Times New Roman"/>
          <w:sz w:val="24"/>
          <w:szCs w:val="24"/>
        </w:rPr>
        <w:t>azvidni</w:t>
      </w:r>
      <w:r w:rsidR="002D0AF1" w:rsidRPr="002D0AF1">
        <w:rPr>
          <w:rFonts w:ascii="Times New Roman" w:hAnsi="Times New Roman"/>
          <w:sz w:val="24"/>
          <w:szCs w:val="24"/>
        </w:rPr>
        <w:t xml:space="preserve"> su iz</w:t>
      </w:r>
      <w:r w:rsidR="001B5C4A" w:rsidRPr="002D0AF1">
        <w:rPr>
          <w:rFonts w:ascii="Times New Roman" w:hAnsi="Times New Roman"/>
          <w:sz w:val="24"/>
          <w:szCs w:val="24"/>
        </w:rPr>
        <w:t xml:space="preserve"> objašnjenj</w:t>
      </w:r>
      <w:r w:rsidR="002D0AF1" w:rsidRPr="002D0AF1">
        <w:rPr>
          <w:rFonts w:ascii="Times New Roman" w:hAnsi="Times New Roman"/>
          <w:sz w:val="24"/>
          <w:szCs w:val="24"/>
        </w:rPr>
        <w:t>a u</w:t>
      </w:r>
      <w:r w:rsidR="001B5C4A" w:rsidRPr="002D0AF1">
        <w:rPr>
          <w:rFonts w:ascii="Times New Roman" w:hAnsi="Times New Roman"/>
          <w:sz w:val="24"/>
          <w:szCs w:val="24"/>
        </w:rPr>
        <w:t xml:space="preserve"> nastavk</w:t>
      </w:r>
      <w:r w:rsidR="002D0AF1" w:rsidRPr="002D0AF1">
        <w:rPr>
          <w:rFonts w:ascii="Times New Roman" w:hAnsi="Times New Roman"/>
          <w:sz w:val="24"/>
          <w:szCs w:val="24"/>
        </w:rPr>
        <w:t>u</w:t>
      </w:r>
      <w:r w:rsidR="001B5C4A" w:rsidRPr="002D0AF1">
        <w:rPr>
          <w:rFonts w:ascii="Times New Roman" w:hAnsi="Times New Roman"/>
          <w:sz w:val="24"/>
          <w:szCs w:val="24"/>
        </w:rPr>
        <w:t xml:space="preserve"> </w:t>
      </w:r>
      <w:r w:rsidR="002D0AF1" w:rsidRPr="002D0AF1">
        <w:rPr>
          <w:rFonts w:ascii="Times New Roman" w:hAnsi="Times New Roman"/>
          <w:sz w:val="24"/>
          <w:szCs w:val="24"/>
        </w:rPr>
        <w:t xml:space="preserve">ovog. </w:t>
      </w:r>
      <w:r w:rsidR="001B5C4A" w:rsidRPr="002D0AF1">
        <w:rPr>
          <w:rFonts w:ascii="Times New Roman" w:hAnsi="Times New Roman"/>
          <w:sz w:val="24"/>
          <w:szCs w:val="24"/>
        </w:rPr>
        <w:t>dokumenta.</w:t>
      </w:r>
    </w:p>
    <w:p w14:paraId="7ACBBFA2" w14:textId="149D635D" w:rsidR="00E428DE" w:rsidRPr="00C1336B" w:rsidRDefault="00E428DE" w:rsidP="00E428DE">
      <w:pPr>
        <w:pStyle w:val="Heading2"/>
        <w:numPr>
          <w:ilvl w:val="1"/>
          <w:numId w:val="6"/>
        </w:numPr>
        <w:rPr>
          <w:rFonts w:ascii="Times New Roman" w:hAnsi="Times New Roman" w:cs="Times New Roman"/>
          <w:szCs w:val="24"/>
        </w:rPr>
      </w:pPr>
      <w:r w:rsidRPr="00C1336B">
        <w:rPr>
          <w:rFonts w:ascii="Times New Roman" w:hAnsi="Times New Roman" w:cs="Times New Roman"/>
          <w:szCs w:val="24"/>
        </w:rPr>
        <w:t>Prihodi prema ekonomskoj klasifikaciji</w:t>
      </w:r>
    </w:p>
    <w:p w14:paraId="7E0EE302" w14:textId="31BBA00C" w:rsidR="007952CF" w:rsidRPr="00C1336B" w:rsidRDefault="00E428DE" w:rsidP="00D33EC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 xml:space="preserve">Prema </w:t>
      </w:r>
      <w:r w:rsidRPr="00C1336B">
        <w:rPr>
          <w:rFonts w:ascii="Times New Roman" w:hAnsi="Times New Roman"/>
          <w:b/>
          <w:bCs/>
          <w:sz w:val="24"/>
          <w:szCs w:val="24"/>
        </w:rPr>
        <w:t>ekonomskoj klasifikaciji</w:t>
      </w:r>
      <w:r w:rsidRPr="00C1336B">
        <w:rPr>
          <w:rFonts w:ascii="Times New Roman" w:hAnsi="Times New Roman"/>
          <w:sz w:val="24"/>
          <w:szCs w:val="24"/>
        </w:rPr>
        <w:t>, p</w:t>
      </w:r>
      <w:r w:rsidR="007952CF" w:rsidRPr="00C1336B">
        <w:rPr>
          <w:rFonts w:ascii="Times New Roman" w:hAnsi="Times New Roman"/>
          <w:sz w:val="24"/>
          <w:szCs w:val="24"/>
        </w:rPr>
        <w:t xml:space="preserve">rihodi su </w:t>
      </w:r>
      <w:r w:rsidR="00DA22D1" w:rsidRPr="00C1336B">
        <w:rPr>
          <w:rFonts w:ascii="Times New Roman" w:hAnsi="Times New Roman"/>
          <w:sz w:val="24"/>
          <w:szCs w:val="24"/>
        </w:rPr>
        <w:t>u cijelosti planirani kao prihodi od poslovanja</w:t>
      </w:r>
      <w:r w:rsidR="000D6B4F">
        <w:rPr>
          <w:rFonts w:ascii="Times New Roman" w:hAnsi="Times New Roman"/>
          <w:sz w:val="24"/>
          <w:szCs w:val="24"/>
        </w:rPr>
        <w:t>, te su kao takvi i izvšeni.</w:t>
      </w:r>
      <w:r w:rsidR="00C33BF2">
        <w:rPr>
          <w:rFonts w:ascii="Times New Roman" w:hAnsi="Times New Roman"/>
          <w:sz w:val="24"/>
          <w:szCs w:val="24"/>
        </w:rPr>
        <w:t xml:space="preserve"> Prihodi od prodaje nefinancijske imovine iznose 2.800 €</w:t>
      </w:r>
      <w:r w:rsidR="000417E8">
        <w:rPr>
          <w:rFonts w:ascii="Times New Roman" w:hAnsi="Times New Roman"/>
          <w:sz w:val="24"/>
          <w:szCs w:val="24"/>
        </w:rPr>
        <w:t xml:space="preserve"> što je neznatni postotak u odnosu na ukupne prihode.</w:t>
      </w:r>
    </w:p>
    <w:p w14:paraId="3664209E" w14:textId="0510E2DB" w:rsidR="00E428DE" w:rsidRPr="00C1336B" w:rsidRDefault="00E428DE" w:rsidP="00E428DE">
      <w:pPr>
        <w:pStyle w:val="Heading2"/>
        <w:numPr>
          <w:ilvl w:val="1"/>
          <w:numId w:val="6"/>
        </w:numPr>
        <w:rPr>
          <w:rFonts w:ascii="Times New Roman" w:hAnsi="Times New Roman" w:cs="Times New Roman"/>
          <w:szCs w:val="24"/>
        </w:rPr>
      </w:pPr>
      <w:r w:rsidRPr="00C1336B">
        <w:rPr>
          <w:rFonts w:ascii="Times New Roman" w:hAnsi="Times New Roman" w:cs="Times New Roman"/>
          <w:szCs w:val="24"/>
        </w:rPr>
        <w:t>Prihodi prema izvorima financiranja</w:t>
      </w:r>
    </w:p>
    <w:p w14:paraId="437996C2" w14:textId="7698F161" w:rsidR="00CC0F07" w:rsidRPr="00B01830" w:rsidRDefault="007F15B6" w:rsidP="0028719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2025. godini </w:t>
      </w:r>
      <w:r w:rsidR="00433288">
        <w:rPr>
          <w:rFonts w:ascii="Times New Roman" w:hAnsi="Times New Roman"/>
          <w:sz w:val="24"/>
          <w:szCs w:val="24"/>
        </w:rPr>
        <w:t>prihodi</w:t>
      </w:r>
      <w:r w:rsidR="00287192" w:rsidRPr="00287192">
        <w:rPr>
          <w:rFonts w:ascii="Times New Roman" w:hAnsi="Times New Roman"/>
          <w:sz w:val="24"/>
          <w:szCs w:val="24"/>
        </w:rPr>
        <w:t xml:space="preserve"> iz </w:t>
      </w:r>
      <w:r w:rsidR="00287192" w:rsidRPr="008526DA">
        <w:rPr>
          <w:rFonts w:ascii="Times New Roman" w:hAnsi="Times New Roman"/>
          <w:b/>
          <w:bCs/>
          <w:sz w:val="24"/>
          <w:szCs w:val="24"/>
        </w:rPr>
        <w:t>izvora 11 – Opći prihodi i primici</w:t>
      </w:r>
      <w:r w:rsidR="00287192" w:rsidRPr="00287192">
        <w:rPr>
          <w:rFonts w:ascii="Times New Roman" w:hAnsi="Times New Roman"/>
          <w:sz w:val="24"/>
          <w:szCs w:val="24"/>
        </w:rPr>
        <w:t xml:space="preserve"> (dalje izvor 11)</w:t>
      </w:r>
      <w:r w:rsidR="00433288">
        <w:rPr>
          <w:rFonts w:ascii="Times New Roman" w:hAnsi="Times New Roman"/>
          <w:sz w:val="24"/>
          <w:szCs w:val="24"/>
        </w:rPr>
        <w:t xml:space="preserve"> planirani </w:t>
      </w:r>
      <w:r w:rsidR="000417E8" w:rsidRPr="00287192">
        <w:rPr>
          <w:rFonts w:ascii="Times New Roman" w:hAnsi="Times New Roman"/>
          <w:sz w:val="24"/>
          <w:szCs w:val="24"/>
        </w:rPr>
        <w:t>s</w:t>
      </w:r>
      <w:r w:rsidR="000417E8">
        <w:rPr>
          <w:rFonts w:ascii="Times New Roman" w:hAnsi="Times New Roman"/>
          <w:sz w:val="24"/>
          <w:szCs w:val="24"/>
        </w:rPr>
        <w:t xml:space="preserve">u </w:t>
      </w:r>
      <w:r w:rsidR="00433288">
        <w:rPr>
          <w:rFonts w:ascii="Times New Roman" w:hAnsi="Times New Roman"/>
          <w:sz w:val="24"/>
          <w:szCs w:val="24"/>
        </w:rPr>
        <w:t xml:space="preserve">u iznosu od </w:t>
      </w:r>
      <w:r w:rsidR="003114D6" w:rsidRPr="003114D6">
        <w:rPr>
          <w:rFonts w:ascii="Times New Roman" w:hAnsi="Times New Roman"/>
          <w:sz w:val="24"/>
          <w:szCs w:val="24"/>
        </w:rPr>
        <w:t>32.731.219</w:t>
      </w:r>
      <w:r w:rsidR="003114D6">
        <w:rPr>
          <w:rFonts w:ascii="Times New Roman" w:hAnsi="Times New Roman"/>
          <w:sz w:val="24"/>
          <w:szCs w:val="24"/>
        </w:rPr>
        <w:t xml:space="preserve"> €</w:t>
      </w:r>
      <w:r w:rsidR="00A926BD">
        <w:rPr>
          <w:rFonts w:ascii="Times New Roman" w:hAnsi="Times New Roman"/>
          <w:sz w:val="24"/>
          <w:szCs w:val="24"/>
        </w:rPr>
        <w:t xml:space="preserve">, odnosno 78% od ukupnih prihoda, a ostvareni su u iznosu od </w:t>
      </w:r>
      <w:r w:rsidR="00733EF1" w:rsidRPr="00733EF1">
        <w:rPr>
          <w:rFonts w:ascii="Times New Roman" w:hAnsi="Times New Roman"/>
          <w:sz w:val="24"/>
          <w:szCs w:val="24"/>
        </w:rPr>
        <w:t>32.301.98</w:t>
      </w:r>
      <w:r w:rsidR="001C303F">
        <w:rPr>
          <w:rFonts w:ascii="Times New Roman" w:hAnsi="Times New Roman"/>
          <w:sz w:val="24"/>
          <w:szCs w:val="24"/>
        </w:rPr>
        <w:t xml:space="preserve">6 </w:t>
      </w:r>
      <w:r w:rsidR="00733EF1">
        <w:t xml:space="preserve">€, </w:t>
      </w:r>
      <w:r w:rsidR="00733EF1" w:rsidRPr="00B01830">
        <w:rPr>
          <w:rFonts w:ascii="Times New Roman" w:hAnsi="Times New Roman"/>
          <w:sz w:val="24"/>
          <w:szCs w:val="24"/>
        </w:rPr>
        <w:t>odnosno 69</w:t>
      </w:r>
      <w:r w:rsidR="00A174DB" w:rsidRPr="00B01830">
        <w:rPr>
          <w:rFonts w:ascii="Times New Roman" w:hAnsi="Times New Roman"/>
          <w:sz w:val="24"/>
          <w:szCs w:val="24"/>
        </w:rPr>
        <w:t>% od ukupno ostvarenih prihoda.</w:t>
      </w:r>
      <w:r w:rsidR="00B01830" w:rsidRPr="00B01830">
        <w:rPr>
          <w:rFonts w:ascii="Times New Roman" w:hAnsi="Times New Roman"/>
          <w:sz w:val="24"/>
          <w:szCs w:val="24"/>
        </w:rPr>
        <w:t xml:space="preserve"> </w:t>
      </w:r>
    </w:p>
    <w:p w14:paraId="57619E8B" w14:textId="153A82D1" w:rsidR="00E71098" w:rsidRDefault="00D35176" w:rsidP="00CC0F0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C0F07">
        <w:rPr>
          <w:rFonts w:ascii="Times New Roman" w:hAnsi="Times New Roman"/>
          <w:sz w:val="24"/>
          <w:szCs w:val="24"/>
        </w:rPr>
        <w:t>Ovdje se radi o prihodima koj</w:t>
      </w:r>
      <w:r w:rsidR="003C2E6C">
        <w:rPr>
          <w:rFonts w:ascii="Times New Roman" w:hAnsi="Times New Roman"/>
          <w:sz w:val="24"/>
          <w:szCs w:val="24"/>
        </w:rPr>
        <w:t>e je</w:t>
      </w:r>
      <w:r w:rsidRPr="00CC0F07">
        <w:rPr>
          <w:rFonts w:ascii="Times New Roman" w:hAnsi="Times New Roman"/>
          <w:sz w:val="24"/>
          <w:szCs w:val="24"/>
        </w:rPr>
        <w:t xml:space="preserve"> fakultet ostvar</w:t>
      </w:r>
      <w:r w:rsidR="003C2E6C">
        <w:rPr>
          <w:rFonts w:ascii="Times New Roman" w:hAnsi="Times New Roman"/>
          <w:sz w:val="24"/>
          <w:szCs w:val="24"/>
        </w:rPr>
        <w:t>io</w:t>
      </w:r>
      <w:r w:rsidRPr="00CC0F07">
        <w:rPr>
          <w:rFonts w:ascii="Times New Roman" w:hAnsi="Times New Roman"/>
          <w:sz w:val="24"/>
          <w:szCs w:val="24"/>
        </w:rPr>
        <w:t xml:space="preserve"> iz nadležnog proračuna za financiranje osnovne, razvojne i izvedbene proračunske komponente programskog ugovora</w:t>
      </w:r>
      <w:r w:rsidR="002344D6">
        <w:rPr>
          <w:rFonts w:ascii="Times New Roman" w:hAnsi="Times New Roman"/>
          <w:sz w:val="24"/>
          <w:szCs w:val="24"/>
        </w:rPr>
        <w:t xml:space="preserve"> </w:t>
      </w:r>
      <w:r w:rsidR="003C2E6C">
        <w:rPr>
          <w:rFonts w:ascii="Times New Roman" w:hAnsi="Times New Roman"/>
          <w:sz w:val="24"/>
          <w:szCs w:val="24"/>
        </w:rPr>
        <w:t>(</w:t>
      </w:r>
      <w:r w:rsidR="002344D6">
        <w:rPr>
          <w:rFonts w:ascii="Times New Roman" w:hAnsi="Times New Roman"/>
          <w:sz w:val="24"/>
          <w:szCs w:val="24"/>
        </w:rPr>
        <w:t>konkretno plaća</w:t>
      </w:r>
      <w:r w:rsidR="00C8002C">
        <w:rPr>
          <w:rFonts w:ascii="Times New Roman" w:hAnsi="Times New Roman"/>
          <w:sz w:val="24"/>
          <w:szCs w:val="24"/>
        </w:rPr>
        <w:t xml:space="preserve"> i naknada za</w:t>
      </w:r>
      <w:r w:rsidR="002344D6">
        <w:rPr>
          <w:rFonts w:ascii="Times New Roman" w:hAnsi="Times New Roman"/>
          <w:sz w:val="24"/>
          <w:szCs w:val="24"/>
        </w:rPr>
        <w:t xml:space="preserve"> zaposlen</w:t>
      </w:r>
      <w:r w:rsidR="00C8002C">
        <w:rPr>
          <w:rFonts w:ascii="Times New Roman" w:hAnsi="Times New Roman"/>
          <w:sz w:val="24"/>
          <w:szCs w:val="24"/>
        </w:rPr>
        <w:t>e</w:t>
      </w:r>
      <w:r w:rsidR="003C2E6C">
        <w:rPr>
          <w:rFonts w:ascii="Times New Roman" w:hAnsi="Times New Roman"/>
          <w:sz w:val="24"/>
          <w:szCs w:val="24"/>
        </w:rPr>
        <w:t>)</w:t>
      </w:r>
      <w:r w:rsidR="00C8002C">
        <w:rPr>
          <w:rFonts w:ascii="Times New Roman" w:hAnsi="Times New Roman"/>
          <w:sz w:val="24"/>
          <w:szCs w:val="24"/>
        </w:rPr>
        <w:t xml:space="preserve">, </w:t>
      </w:r>
      <w:r w:rsidR="00EA118F">
        <w:rPr>
          <w:rFonts w:ascii="Times New Roman" w:hAnsi="Times New Roman"/>
          <w:sz w:val="24"/>
          <w:szCs w:val="24"/>
        </w:rPr>
        <w:t>financiranje obnove fakulteta</w:t>
      </w:r>
      <w:r w:rsidR="00F24F2D">
        <w:rPr>
          <w:rFonts w:ascii="Times New Roman" w:hAnsi="Times New Roman"/>
          <w:sz w:val="24"/>
          <w:szCs w:val="24"/>
        </w:rPr>
        <w:t xml:space="preserve"> te potpora za </w:t>
      </w:r>
      <w:r w:rsidR="008F20E0">
        <w:rPr>
          <w:rFonts w:ascii="Times New Roman" w:hAnsi="Times New Roman"/>
          <w:sz w:val="24"/>
          <w:szCs w:val="24"/>
        </w:rPr>
        <w:t>obavljanje znanstveno istraživačke djelatnosti.</w:t>
      </w:r>
    </w:p>
    <w:p w14:paraId="492584B7" w14:textId="5D0A2C5D" w:rsidR="008F20E0" w:rsidRPr="00CC0F07" w:rsidRDefault="00747905" w:rsidP="00CC0F0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01830">
        <w:rPr>
          <w:rFonts w:ascii="Times New Roman" w:hAnsi="Times New Roman"/>
          <w:sz w:val="24"/>
          <w:szCs w:val="24"/>
        </w:rPr>
        <w:t xml:space="preserve">U odnosu na 2024. godinu </w:t>
      </w:r>
      <w:r>
        <w:rPr>
          <w:rFonts w:ascii="Times New Roman" w:hAnsi="Times New Roman"/>
          <w:sz w:val="24"/>
          <w:szCs w:val="24"/>
        </w:rPr>
        <w:t>ovi prihodi su za 52% veći s obzirom da je 2025. godina bila godina u kojoj je većina radova na obnovi okončana, a porasla je i osnovica plaća i naknada za zaposlene temeljem Odluk</w:t>
      </w:r>
      <w:r w:rsidR="003C2E6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7905">
        <w:rPr>
          <w:rFonts w:ascii="Times New Roman" w:hAnsi="Times New Roman"/>
          <w:sz w:val="24"/>
          <w:szCs w:val="24"/>
        </w:rPr>
        <w:t>o visini osnovice za obračun plaće u javnim službama u 2025. godini</w:t>
      </w:r>
      <w:r>
        <w:rPr>
          <w:rFonts w:ascii="Times New Roman" w:hAnsi="Times New Roman"/>
          <w:sz w:val="24"/>
          <w:szCs w:val="24"/>
        </w:rPr>
        <w:t>.</w:t>
      </w:r>
    </w:p>
    <w:p w14:paraId="10574A92" w14:textId="00C84E62" w:rsidR="00526349" w:rsidRDefault="001B2F24" w:rsidP="0028719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 iz i</w:t>
      </w:r>
      <w:r w:rsidR="00287192" w:rsidRPr="00287192">
        <w:rPr>
          <w:rFonts w:ascii="Times New Roman" w:hAnsi="Times New Roman"/>
          <w:sz w:val="24"/>
          <w:szCs w:val="24"/>
        </w:rPr>
        <w:t>zvor</w:t>
      </w:r>
      <w:r>
        <w:rPr>
          <w:rFonts w:ascii="Times New Roman" w:hAnsi="Times New Roman"/>
          <w:sz w:val="24"/>
          <w:szCs w:val="24"/>
        </w:rPr>
        <w:t>a</w:t>
      </w:r>
      <w:r w:rsidR="00287192" w:rsidRPr="00287192">
        <w:rPr>
          <w:rFonts w:ascii="Times New Roman" w:hAnsi="Times New Roman"/>
          <w:sz w:val="24"/>
          <w:szCs w:val="24"/>
        </w:rPr>
        <w:t xml:space="preserve"> financiranja </w:t>
      </w:r>
      <w:r w:rsidR="00287192" w:rsidRPr="008526DA">
        <w:rPr>
          <w:rFonts w:ascii="Times New Roman" w:hAnsi="Times New Roman"/>
          <w:b/>
          <w:bCs/>
          <w:sz w:val="24"/>
          <w:szCs w:val="24"/>
        </w:rPr>
        <w:t xml:space="preserve">31 – </w:t>
      </w:r>
      <w:r w:rsidR="00AD32A3">
        <w:rPr>
          <w:rFonts w:ascii="Times New Roman" w:hAnsi="Times New Roman"/>
          <w:b/>
          <w:bCs/>
          <w:sz w:val="24"/>
          <w:szCs w:val="24"/>
        </w:rPr>
        <w:t>Vlastiti prihodi</w:t>
      </w:r>
      <w:r w:rsidR="00287192" w:rsidRPr="00287192">
        <w:rPr>
          <w:rFonts w:ascii="Times New Roman" w:hAnsi="Times New Roman"/>
          <w:sz w:val="24"/>
          <w:szCs w:val="24"/>
        </w:rPr>
        <w:t xml:space="preserve"> (dalje izvor 31) </w:t>
      </w:r>
      <w:r w:rsidR="00902CDF">
        <w:rPr>
          <w:rFonts w:ascii="Times New Roman" w:hAnsi="Times New Roman"/>
          <w:sz w:val="24"/>
          <w:szCs w:val="24"/>
        </w:rPr>
        <w:t>u 2025. planiran</w:t>
      </w:r>
      <w:r>
        <w:rPr>
          <w:rFonts w:ascii="Times New Roman" w:hAnsi="Times New Roman"/>
          <w:sz w:val="24"/>
          <w:szCs w:val="24"/>
        </w:rPr>
        <w:t>i su</w:t>
      </w:r>
      <w:r w:rsidR="00902CDF">
        <w:rPr>
          <w:rFonts w:ascii="Times New Roman" w:hAnsi="Times New Roman"/>
          <w:sz w:val="24"/>
          <w:szCs w:val="24"/>
        </w:rPr>
        <w:t xml:space="preserve"> u iznosu od </w:t>
      </w:r>
      <w:r w:rsidR="00E875AB" w:rsidRPr="00E875AB">
        <w:rPr>
          <w:rFonts w:ascii="Times New Roman" w:hAnsi="Times New Roman"/>
          <w:sz w:val="24"/>
          <w:szCs w:val="24"/>
        </w:rPr>
        <w:t>2.684.875</w:t>
      </w:r>
      <w:r w:rsidR="00E875AB">
        <w:rPr>
          <w:rFonts w:ascii="Times New Roman" w:hAnsi="Times New Roman"/>
          <w:sz w:val="24"/>
          <w:szCs w:val="24"/>
        </w:rPr>
        <w:t xml:space="preserve"> €, odnosno </w:t>
      </w:r>
      <w:r w:rsidR="009C7CF4">
        <w:rPr>
          <w:rFonts w:ascii="Times New Roman" w:hAnsi="Times New Roman"/>
          <w:sz w:val="24"/>
          <w:szCs w:val="24"/>
        </w:rPr>
        <w:t xml:space="preserve">6% od ukupnih prihoda, a </w:t>
      </w:r>
      <w:r w:rsidR="00AD32A3">
        <w:rPr>
          <w:rFonts w:ascii="Times New Roman" w:hAnsi="Times New Roman"/>
          <w:sz w:val="24"/>
          <w:szCs w:val="24"/>
        </w:rPr>
        <w:t xml:space="preserve">ostvareni su u iznosu od </w:t>
      </w:r>
      <w:r w:rsidR="00AD32A3" w:rsidRPr="00AD32A3">
        <w:rPr>
          <w:rFonts w:ascii="Times New Roman" w:hAnsi="Times New Roman"/>
          <w:sz w:val="24"/>
          <w:szCs w:val="24"/>
        </w:rPr>
        <w:t>2.218.477</w:t>
      </w:r>
      <w:r w:rsidR="00AD32A3">
        <w:rPr>
          <w:rFonts w:ascii="Times New Roman" w:hAnsi="Times New Roman"/>
          <w:sz w:val="24"/>
          <w:szCs w:val="24"/>
        </w:rPr>
        <w:t xml:space="preserve"> € odnosno </w:t>
      </w:r>
      <w:r w:rsidR="00526349">
        <w:rPr>
          <w:rFonts w:ascii="Times New Roman" w:hAnsi="Times New Roman"/>
          <w:sz w:val="24"/>
          <w:szCs w:val="24"/>
        </w:rPr>
        <w:t xml:space="preserve">4% od ukupno ostvarenih prihoda. </w:t>
      </w:r>
    </w:p>
    <w:p w14:paraId="2BD64738" w14:textId="415762D8" w:rsidR="00FA4B9F" w:rsidRDefault="00526349" w:rsidP="006242D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Radi se o prihodima koji</w:t>
      </w:r>
      <w:r w:rsidR="00E71098">
        <w:rPr>
          <w:rFonts w:ascii="Times New Roman" w:hAnsi="Times New Roman"/>
          <w:sz w:val="24"/>
          <w:szCs w:val="24"/>
        </w:rPr>
        <w:t xml:space="preserve"> se ostvaruju na temelju </w:t>
      </w:r>
      <w:r w:rsidR="00490298">
        <w:rPr>
          <w:rFonts w:ascii="Times New Roman" w:hAnsi="Times New Roman"/>
          <w:sz w:val="24"/>
          <w:szCs w:val="24"/>
        </w:rPr>
        <w:t xml:space="preserve">pružanja usluga fakulteta. </w:t>
      </w:r>
      <w:r w:rsidR="00AF1E64">
        <w:rPr>
          <w:rFonts w:ascii="Times New Roman" w:hAnsi="Times New Roman"/>
          <w:sz w:val="24"/>
          <w:szCs w:val="24"/>
        </w:rPr>
        <w:t xml:space="preserve">U odnosu na 2024. godinu ovi su prihodi niži za 20%, isključivo zbog povratka u obnovljeni prostor fakulteta i nužnu prilagodbu poslovnih funkcija </w:t>
      </w:r>
      <w:r w:rsidR="00F0740C">
        <w:rPr>
          <w:rFonts w:ascii="Times New Roman" w:hAnsi="Times New Roman"/>
          <w:sz w:val="24"/>
          <w:szCs w:val="24"/>
        </w:rPr>
        <w:t xml:space="preserve">fakulteta, odnosno nemogućnost optimalne </w:t>
      </w:r>
      <w:r w:rsidR="004E7A25">
        <w:rPr>
          <w:rFonts w:ascii="Times New Roman" w:hAnsi="Times New Roman"/>
          <w:sz w:val="24"/>
          <w:szCs w:val="24"/>
        </w:rPr>
        <w:t xml:space="preserve">odnosno potpune </w:t>
      </w:r>
      <w:r w:rsidR="00F0740C">
        <w:rPr>
          <w:rFonts w:ascii="Times New Roman" w:hAnsi="Times New Roman"/>
          <w:sz w:val="24"/>
          <w:szCs w:val="24"/>
        </w:rPr>
        <w:t>uspostave</w:t>
      </w:r>
      <w:r w:rsidR="001B2F24">
        <w:rPr>
          <w:rFonts w:ascii="Times New Roman" w:hAnsi="Times New Roman"/>
          <w:sz w:val="24"/>
          <w:szCs w:val="24"/>
        </w:rPr>
        <w:t>,</w:t>
      </w:r>
      <w:r w:rsidR="00F0740C">
        <w:rPr>
          <w:rFonts w:ascii="Times New Roman" w:hAnsi="Times New Roman"/>
          <w:sz w:val="24"/>
          <w:szCs w:val="24"/>
        </w:rPr>
        <w:t xml:space="preserve"> poslovnih procesa za vrijeme povratka u </w:t>
      </w:r>
      <w:r w:rsidR="001B2F24">
        <w:rPr>
          <w:rFonts w:ascii="Times New Roman" w:hAnsi="Times New Roman"/>
          <w:sz w:val="24"/>
          <w:szCs w:val="24"/>
        </w:rPr>
        <w:t>„</w:t>
      </w:r>
      <w:r w:rsidR="004E7A25">
        <w:rPr>
          <w:rFonts w:ascii="Times New Roman" w:hAnsi="Times New Roman"/>
          <w:sz w:val="24"/>
          <w:szCs w:val="24"/>
        </w:rPr>
        <w:t>trajni progon</w:t>
      </w:r>
      <w:r w:rsidR="001B2F24">
        <w:rPr>
          <w:rFonts w:ascii="Times New Roman" w:hAnsi="Times New Roman"/>
          <w:sz w:val="24"/>
          <w:szCs w:val="24"/>
        </w:rPr>
        <w:t>“</w:t>
      </w:r>
      <w:r w:rsidR="004E7A25">
        <w:rPr>
          <w:rFonts w:ascii="Times New Roman" w:hAnsi="Times New Roman"/>
          <w:sz w:val="24"/>
          <w:szCs w:val="24"/>
        </w:rPr>
        <w:t xml:space="preserve"> tijekom 2025. godine.</w:t>
      </w:r>
    </w:p>
    <w:p w14:paraId="6F8374F8" w14:textId="100E26BC" w:rsidR="00FE0954" w:rsidRPr="00432E75" w:rsidRDefault="001B2F24" w:rsidP="00D47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 iz i</w:t>
      </w:r>
      <w:r w:rsidR="00FE0954" w:rsidRPr="00FE0954">
        <w:rPr>
          <w:rFonts w:ascii="Times New Roman" w:hAnsi="Times New Roman"/>
          <w:sz w:val="24"/>
          <w:szCs w:val="24"/>
        </w:rPr>
        <w:t>zvor</w:t>
      </w:r>
      <w:r>
        <w:rPr>
          <w:rFonts w:ascii="Times New Roman" w:hAnsi="Times New Roman"/>
          <w:sz w:val="24"/>
          <w:szCs w:val="24"/>
        </w:rPr>
        <w:t>a</w:t>
      </w:r>
      <w:r w:rsidR="00FE0954" w:rsidRPr="00FE0954">
        <w:rPr>
          <w:rFonts w:ascii="Times New Roman" w:hAnsi="Times New Roman"/>
          <w:sz w:val="24"/>
          <w:szCs w:val="24"/>
        </w:rPr>
        <w:t xml:space="preserve"> financiranja</w:t>
      </w:r>
      <w:r w:rsidR="00FE0954" w:rsidRPr="0033619F">
        <w:rPr>
          <w:rFonts w:ascii="Times New Roman" w:hAnsi="Times New Roman"/>
          <w:b/>
          <w:bCs/>
          <w:sz w:val="24"/>
          <w:szCs w:val="24"/>
        </w:rPr>
        <w:t xml:space="preserve"> 43</w:t>
      </w:r>
      <w:r w:rsidR="00FE0954">
        <w:rPr>
          <w:rFonts w:ascii="Times New Roman" w:hAnsi="Times New Roman"/>
          <w:sz w:val="24"/>
          <w:szCs w:val="24"/>
        </w:rPr>
        <w:t xml:space="preserve"> </w:t>
      </w:r>
      <w:r w:rsidR="00FE0954" w:rsidRPr="0033619F">
        <w:rPr>
          <w:rFonts w:ascii="Times New Roman" w:hAnsi="Times New Roman"/>
          <w:b/>
          <w:bCs/>
          <w:sz w:val="24"/>
          <w:szCs w:val="24"/>
        </w:rPr>
        <w:t>– Ostali prihodi za posebne namjene</w:t>
      </w:r>
      <w:r w:rsidR="00FE0954">
        <w:rPr>
          <w:rFonts w:ascii="Times New Roman" w:hAnsi="Times New Roman"/>
          <w:sz w:val="24"/>
          <w:szCs w:val="24"/>
        </w:rPr>
        <w:t xml:space="preserve"> (dalje izvor 43)</w:t>
      </w:r>
      <w:r w:rsidR="004E7A25">
        <w:rPr>
          <w:rFonts w:ascii="Times New Roman" w:hAnsi="Times New Roman"/>
          <w:sz w:val="24"/>
          <w:szCs w:val="24"/>
        </w:rPr>
        <w:t xml:space="preserve"> u 2025. </w:t>
      </w:r>
      <w:r w:rsidR="00B75A4F">
        <w:rPr>
          <w:rFonts w:ascii="Times New Roman" w:hAnsi="Times New Roman"/>
          <w:sz w:val="24"/>
          <w:szCs w:val="24"/>
        </w:rPr>
        <w:t>planiran</w:t>
      </w:r>
      <w:r>
        <w:rPr>
          <w:rFonts w:ascii="Times New Roman" w:hAnsi="Times New Roman"/>
          <w:sz w:val="24"/>
          <w:szCs w:val="24"/>
        </w:rPr>
        <w:t>i su</w:t>
      </w:r>
      <w:r w:rsidR="00B75A4F">
        <w:rPr>
          <w:rFonts w:ascii="Times New Roman" w:hAnsi="Times New Roman"/>
          <w:sz w:val="24"/>
          <w:szCs w:val="24"/>
        </w:rPr>
        <w:t xml:space="preserve"> u iznosu od </w:t>
      </w:r>
      <w:r w:rsidR="00B75A4F" w:rsidRPr="00B75A4F">
        <w:rPr>
          <w:rFonts w:ascii="Times New Roman" w:hAnsi="Times New Roman"/>
          <w:sz w:val="24"/>
          <w:szCs w:val="24"/>
        </w:rPr>
        <w:t>770.420</w:t>
      </w:r>
      <w:r w:rsidR="00B75A4F">
        <w:rPr>
          <w:rFonts w:ascii="Times New Roman" w:hAnsi="Times New Roman"/>
          <w:sz w:val="24"/>
          <w:szCs w:val="24"/>
        </w:rPr>
        <w:t xml:space="preserve"> €, odnosno </w:t>
      </w:r>
      <w:r w:rsidR="003365D2">
        <w:rPr>
          <w:rFonts w:ascii="Times New Roman" w:hAnsi="Times New Roman"/>
          <w:sz w:val="24"/>
          <w:szCs w:val="24"/>
        </w:rPr>
        <w:t>2% od ukupn</w:t>
      </w:r>
      <w:r w:rsidR="00544291">
        <w:rPr>
          <w:rFonts w:ascii="Times New Roman" w:hAnsi="Times New Roman"/>
          <w:sz w:val="24"/>
          <w:szCs w:val="24"/>
        </w:rPr>
        <w:t>o planiranih</w:t>
      </w:r>
      <w:r w:rsidR="003365D2">
        <w:rPr>
          <w:rFonts w:ascii="Times New Roman" w:hAnsi="Times New Roman"/>
          <w:sz w:val="24"/>
          <w:szCs w:val="24"/>
        </w:rPr>
        <w:t xml:space="preserve"> prihoda, a ostvaren</w:t>
      </w:r>
      <w:r>
        <w:rPr>
          <w:rFonts w:ascii="Times New Roman" w:hAnsi="Times New Roman"/>
          <w:sz w:val="24"/>
          <w:szCs w:val="24"/>
        </w:rPr>
        <w:t>i su</w:t>
      </w:r>
      <w:r w:rsidR="003365D2">
        <w:rPr>
          <w:rFonts w:ascii="Times New Roman" w:hAnsi="Times New Roman"/>
          <w:sz w:val="24"/>
          <w:szCs w:val="24"/>
        </w:rPr>
        <w:t xml:space="preserve"> u iznosu od </w:t>
      </w:r>
      <w:r w:rsidR="003365D2" w:rsidRPr="003365D2">
        <w:rPr>
          <w:rFonts w:ascii="Times New Roman" w:hAnsi="Times New Roman"/>
          <w:sz w:val="24"/>
          <w:szCs w:val="24"/>
        </w:rPr>
        <w:t>754.394</w:t>
      </w:r>
      <w:r w:rsidR="001C303F">
        <w:rPr>
          <w:rFonts w:ascii="Times New Roman" w:hAnsi="Times New Roman"/>
          <w:sz w:val="24"/>
          <w:szCs w:val="24"/>
        </w:rPr>
        <w:t xml:space="preserve"> </w:t>
      </w:r>
      <w:r w:rsidR="003365D2">
        <w:rPr>
          <w:rFonts w:ascii="Times New Roman" w:hAnsi="Times New Roman"/>
          <w:sz w:val="24"/>
          <w:szCs w:val="24"/>
        </w:rPr>
        <w:t>€</w:t>
      </w:r>
      <w:r w:rsidR="001C303F">
        <w:rPr>
          <w:rFonts w:ascii="Times New Roman" w:hAnsi="Times New Roman"/>
          <w:sz w:val="24"/>
          <w:szCs w:val="24"/>
        </w:rPr>
        <w:t>, odnosno</w:t>
      </w:r>
      <w:r w:rsidR="00FD5163">
        <w:rPr>
          <w:rFonts w:ascii="Times New Roman" w:hAnsi="Times New Roman"/>
          <w:sz w:val="24"/>
          <w:szCs w:val="24"/>
        </w:rPr>
        <w:t xml:space="preserve"> približno 2% od ukupno ostvarenih prihoda. Radi se o prihodima </w:t>
      </w:r>
      <w:r w:rsidR="00D47804">
        <w:rPr>
          <w:rFonts w:ascii="Times New Roman" w:hAnsi="Times New Roman"/>
          <w:sz w:val="24"/>
          <w:szCs w:val="24"/>
        </w:rPr>
        <w:t>od</w:t>
      </w:r>
      <w:r w:rsidR="00FE0954" w:rsidRPr="006A5D2C">
        <w:rPr>
          <w:rFonts w:ascii="Times New Roman" w:hAnsi="Times New Roman"/>
          <w:sz w:val="24"/>
          <w:szCs w:val="24"/>
        </w:rPr>
        <w:t xml:space="preserve"> participacije </w:t>
      </w:r>
      <w:r w:rsidR="00D47804">
        <w:rPr>
          <w:rFonts w:ascii="Times New Roman" w:hAnsi="Times New Roman"/>
          <w:sz w:val="24"/>
          <w:szCs w:val="24"/>
        </w:rPr>
        <w:t>u</w:t>
      </w:r>
      <w:r w:rsidR="00FE0954" w:rsidRPr="006A5D2C">
        <w:rPr>
          <w:rFonts w:ascii="Times New Roman" w:hAnsi="Times New Roman"/>
          <w:sz w:val="24"/>
          <w:szCs w:val="24"/>
        </w:rPr>
        <w:t xml:space="preserve"> školarina</w:t>
      </w:r>
      <w:r w:rsidR="00D47804">
        <w:rPr>
          <w:rFonts w:ascii="Times New Roman" w:hAnsi="Times New Roman"/>
          <w:sz w:val="24"/>
          <w:szCs w:val="24"/>
        </w:rPr>
        <w:t>ma</w:t>
      </w:r>
      <w:r w:rsidR="00FE0954" w:rsidRPr="006A5D2C">
        <w:rPr>
          <w:rFonts w:ascii="Times New Roman" w:hAnsi="Times New Roman"/>
          <w:sz w:val="24"/>
          <w:szCs w:val="24"/>
        </w:rPr>
        <w:t xml:space="preserve"> za preddiplomski, diplomski i poslijediplomski doktorski studij</w:t>
      </w:r>
      <w:r w:rsidR="00FE0954">
        <w:rPr>
          <w:rFonts w:ascii="Times New Roman" w:hAnsi="Times New Roman"/>
          <w:sz w:val="24"/>
          <w:szCs w:val="24"/>
        </w:rPr>
        <w:t xml:space="preserve"> </w:t>
      </w:r>
      <w:r w:rsidR="00FE0954" w:rsidRPr="006A5D2C">
        <w:rPr>
          <w:rFonts w:ascii="Times New Roman" w:hAnsi="Times New Roman"/>
          <w:sz w:val="24"/>
          <w:szCs w:val="24"/>
        </w:rPr>
        <w:t>te</w:t>
      </w:r>
      <w:r w:rsidR="00FE0954">
        <w:rPr>
          <w:rFonts w:ascii="Times New Roman" w:hAnsi="Times New Roman"/>
          <w:sz w:val="24"/>
          <w:szCs w:val="24"/>
        </w:rPr>
        <w:t xml:space="preserve"> </w:t>
      </w:r>
      <w:r w:rsidR="00D47804">
        <w:rPr>
          <w:rFonts w:ascii="Times New Roman" w:hAnsi="Times New Roman"/>
          <w:sz w:val="24"/>
          <w:szCs w:val="24"/>
        </w:rPr>
        <w:t xml:space="preserve">prihodima od </w:t>
      </w:r>
      <w:r w:rsidR="00FE0954" w:rsidRPr="006A5D2C">
        <w:rPr>
          <w:rFonts w:ascii="Times New Roman" w:hAnsi="Times New Roman"/>
          <w:sz w:val="24"/>
          <w:szCs w:val="24"/>
        </w:rPr>
        <w:t>upisnin</w:t>
      </w:r>
      <w:r w:rsidR="00D47804">
        <w:rPr>
          <w:rFonts w:ascii="Times New Roman" w:hAnsi="Times New Roman"/>
          <w:sz w:val="24"/>
          <w:szCs w:val="24"/>
        </w:rPr>
        <w:t>a</w:t>
      </w:r>
      <w:r w:rsidR="00FE0954" w:rsidRPr="006A5D2C">
        <w:rPr>
          <w:rFonts w:ascii="Times New Roman" w:hAnsi="Times New Roman"/>
          <w:sz w:val="24"/>
          <w:szCs w:val="24"/>
        </w:rPr>
        <w:t xml:space="preserve"> i ostal</w:t>
      </w:r>
      <w:r w:rsidR="00D47804">
        <w:rPr>
          <w:rFonts w:ascii="Times New Roman" w:hAnsi="Times New Roman"/>
          <w:sz w:val="24"/>
          <w:szCs w:val="24"/>
        </w:rPr>
        <w:t>ih</w:t>
      </w:r>
      <w:r w:rsidR="00FE0954" w:rsidRPr="006A5D2C">
        <w:rPr>
          <w:rFonts w:ascii="Times New Roman" w:hAnsi="Times New Roman"/>
          <w:sz w:val="24"/>
          <w:szCs w:val="24"/>
        </w:rPr>
        <w:t xml:space="preserve"> naknad</w:t>
      </w:r>
      <w:r w:rsidR="00D47804">
        <w:rPr>
          <w:rFonts w:ascii="Times New Roman" w:hAnsi="Times New Roman"/>
          <w:sz w:val="24"/>
          <w:szCs w:val="24"/>
        </w:rPr>
        <w:t>a</w:t>
      </w:r>
      <w:r w:rsidR="00FE0954" w:rsidRPr="006A5D2C">
        <w:rPr>
          <w:rFonts w:ascii="Times New Roman" w:hAnsi="Times New Roman"/>
          <w:sz w:val="24"/>
          <w:szCs w:val="24"/>
        </w:rPr>
        <w:t xml:space="preserve"> propisan</w:t>
      </w:r>
      <w:r w:rsidR="00D47804">
        <w:rPr>
          <w:rFonts w:ascii="Times New Roman" w:hAnsi="Times New Roman"/>
          <w:sz w:val="24"/>
          <w:szCs w:val="24"/>
        </w:rPr>
        <w:t>ih</w:t>
      </w:r>
      <w:r w:rsidR="00FE0954" w:rsidRPr="006A5D2C">
        <w:rPr>
          <w:rFonts w:ascii="Times New Roman" w:hAnsi="Times New Roman"/>
          <w:sz w:val="24"/>
          <w:szCs w:val="24"/>
        </w:rPr>
        <w:t xml:space="preserve"> Odlukom dekana</w:t>
      </w:r>
      <w:r w:rsidR="00FE0954">
        <w:rPr>
          <w:rFonts w:ascii="Times New Roman" w:hAnsi="Times New Roman"/>
          <w:sz w:val="24"/>
          <w:szCs w:val="24"/>
        </w:rPr>
        <w:t xml:space="preserve">. </w:t>
      </w:r>
      <w:r w:rsidR="00D47804">
        <w:rPr>
          <w:rFonts w:ascii="Times New Roman" w:hAnsi="Times New Roman"/>
          <w:sz w:val="24"/>
          <w:szCs w:val="24"/>
        </w:rPr>
        <w:t xml:space="preserve">U odnosu na 2024. godinu </w:t>
      </w:r>
      <w:r w:rsidR="002161B2">
        <w:rPr>
          <w:rFonts w:ascii="Times New Roman" w:hAnsi="Times New Roman"/>
          <w:sz w:val="24"/>
          <w:szCs w:val="24"/>
        </w:rPr>
        <w:t>ovi prihodi su za 64% viši</w:t>
      </w:r>
      <w:r w:rsidR="000020AE">
        <w:rPr>
          <w:rFonts w:ascii="Times New Roman" w:hAnsi="Times New Roman"/>
          <w:sz w:val="24"/>
          <w:szCs w:val="24"/>
        </w:rPr>
        <w:t xml:space="preserve">, iako, osim u </w:t>
      </w:r>
      <w:r w:rsidR="006614EA">
        <w:rPr>
          <w:rFonts w:ascii="Times New Roman" w:hAnsi="Times New Roman"/>
          <w:sz w:val="24"/>
          <w:szCs w:val="24"/>
        </w:rPr>
        <w:t xml:space="preserve">administrativnom povećanju troškova upisa za brucoše, nema nekih značajnijih </w:t>
      </w:r>
      <w:r w:rsidR="00AB2B2C">
        <w:rPr>
          <w:rFonts w:ascii="Times New Roman" w:hAnsi="Times New Roman"/>
          <w:sz w:val="24"/>
          <w:szCs w:val="24"/>
        </w:rPr>
        <w:t>odstupanja u broju studenata</w:t>
      </w:r>
      <w:r w:rsidR="005B06C4">
        <w:rPr>
          <w:rFonts w:ascii="Times New Roman" w:hAnsi="Times New Roman"/>
          <w:sz w:val="24"/>
          <w:szCs w:val="24"/>
        </w:rPr>
        <w:t>, smjerova</w:t>
      </w:r>
      <w:r w:rsidR="00AB2B2C">
        <w:rPr>
          <w:rFonts w:ascii="Times New Roman" w:hAnsi="Times New Roman"/>
          <w:sz w:val="24"/>
          <w:szCs w:val="24"/>
        </w:rPr>
        <w:t xml:space="preserve"> ili upisnih kvo</w:t>
      </w:r>
      <w:r w:rsidR="005B06C4">
        <w:rPr>
          <w:rFonts w:ascii="Times New Roman" w:hAnsi="Times New Roman"/>
          <w:sz w:val="24"/>
          <w:szCs w:val="24"/>
        </w:rPr>
        <w:t>ta.</w:t>
      </w:r>
    </w:p>
    <w:p w14:paraId="51D484B0" w14:textId="718358D3" w:rsidR="005F5551" w:rsidRPr="0080758E" w:rsidRDefault="001B2F24" w:rsidP="00FD47E8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 iz i</w:t>
      </w:r>
      <w:r w:rsidR="00D40192">
        <w:rPr>
          <w:rFonts w:ascii="Times New Roman" w:hAnsi="Times New Roman"/>
          <w:sz w:val="24"/>
          <w:szCs w:val="24"/>
        </w:rPr>
        <w:t>zvor</w:t>
      </w:r>
      <w:r>
        <w:rPr>
          <w:rFonts w:ascii="Times New Roman" w:hAnsi="Times New Roman"/>
          <w:sz w:val="24"/>
          <w:szCs w:val="24"/>
        </w:rPr>
        <w:t>a</w:t>
      </w:r>
      <w:r w:rsidR="00D40192">
        <w:rPr>
          <w:rFonts w:ascii="Times New Roman" w:hAnsi="Times New Roman"/>
          <w:sz w:val="24"/>
          <w:szCs w:val="24"/>
        </w:rPr>
        <w:t xml:space="preserve"> financiranja </w:t>
      </w:r>
      <w:r w:rsidR="0094050E" w:rsidRPr="00FD47E8">
        <w:rPr>
          <w:rFonts w:ascii="Times New Roman" w:hAnsi="Times New Roman"/>
          <w:b/>
          <w:bCs/>
          <w:sz w:val="24"/>
          <w:szCs w:val="24"/>
        </w:rPr>
        <w:t>52 - Ostale pomoći</w:t>
      </w:r>
      <w:r w:rsidR="0094050E">
        <w:rPr>
          <w:rFonts w:ascii="Times New Roman" w:hAnsi="Times New Roman"/>
          <w:sz w:val="24"/>
          <w:szCs w:val="24"/>
        </w:rPr>
        <w:t xml:space="preserve"> (dalje izvor 52) u 2025. planiran</w:t>
      </w:r>
      <w:r>
        <w:rPr>
          <w:rFonts w:ascii="Times New Roman" w:hAnsi="Times New Roman"/>
          <w:sz w:val="24"/>
          <w:szCs w:val="24"/>
        </w:rPr>
        <w:t>i su</w:t>
      </w:r>
      <w:r w:rsidR="0094050E">
        <w:rPr>
          <w:rFonts w:ascii="Times New Roman" w:hAnsi="Times New Roman"/>
          <w:sz w:val="24"/>
          <w:szCs w:val="24"/>
        </w:rPr>
        <w:t xml:space="preserve"> u iznosu od </w:t>
      </w:r>
      <w:r w:rsidR="00AB0F42" w:rsidRPr="00AB0F42">
        <w:rPr>
          <w:rFonts w:ascii="Times New Roman" w:hAnsi="Times New Roman"/>
          <w:sz w:val="24"/>
          <w:szCs w:val="24"/>
        </w:rPr>
        <w:t>2.847.869</w:t>
      </w:r>
      <w:r w:rsidR="00AB0F42">
        <w:rPr>
          <w:rFonts w:ascii="Times New Roman" w:hAnsi="Times New Roman"/>
          <w:sz w:val="24"/>
          <w:szCs w:val="24"/>
        </w:rPr>
        <w:t xml:space="preserve"> €, što je </w:t>
      </w:r>
      <w:r w:rsidR="0001739A">
        <w:rPr>
          <w:rFonts w:ascii="Times New Roman" w:hAnsi="Times New Roman"/>
          <w:sz w:val="24"/>
          <w:szCs w:val="24"/>
        </w:rPr>
        <w:t>7% ukupn</w:t>
      </w:r>
      <w:r w:rsidR="00544291">
        <w:rPr>
          <w:rFonts w:ascii="Times New Roman" w:hAnsi="Times New Roman"/>
          <w:sz w:val="24"/>
          <w:szCs w:val="24"/>
        </w:rPr>
        <w:t>o planiranih</w:t>
      </w:r>
      <w:r w:rsidR="0001739A">
        <w:rPr>
          <w:rFonts w:ascii="Times New Roman" w:hAnsi="Times New Roman"/>
          <w:sz w:val="24"/>
          <w:szCs w:val="24"/>
        </w:rPr>
        <w:t xml:space="preserve"> prihoda, a ostvaren</w:t>
      </w:r>
      <w:r>
        <w:rPr>
          <w:rFonts w:ascii="Times New Roman" w:hAnsi="Times New Roman"/>
          <w:sz w:val="24"/>
          <w:szCs w:val="24"/>
        </w:rPr>
        <w:t xml:space="preserve">i su </w:t>
      </w:r>
      <w:r w:rsidR="0001739A">
        <w:rPr>
          <w:rFonts w:ascii="Times New Roman" w:hAnsi="Times New Roman"/>
          <w:sz w:val="24"/>
          <w:szCs w:val="24"/>
        </w:rPr>
        <w:t xml:space="preserve">u iznosu od </w:t>
      </w:r>
      <w:r w:rsidR="0001739A" w:rsidRPr="0001739A">
        <w:rPr>
          <w:rFonts w:ascii="Times New Roman" w:hAnsi="Times New Roman"/>
          <w:sz w:val="24"/>
          <w:szCs w:val="24"/>
        </w:rPr>
        <w:t>1.147.899</w:t>
      </w:r>
      <w:r w:rsidR="0001739A">
        <w:rPr>
          <w:rFonts w:ascii="Times New Roman" w:hAnsi="Times New Roman"/>
          <w:sz w:val="24"/>
          <w:szCs w:val="24"/>
        </w:rPr>
        <w:t xml:space="preserve"> €, odnosno </w:t>
      </w:r>
      <w:r w:rsidR="00161CDA">
        <w:rPr>
          <w:rFonts w:ascii="Times New Roman" w:hAnsi="Times New Roman"/>
          <w:sz w:val="24"/>
          <w:szCs w:val="24"/>
        </w:rPr>
        <w:t xml:space="preserve">2% od ukupno ostvarenih prihoda. Ovaj izvor u 2025. godini pokriva </w:t>
      </w:r>
      <w:r w:rsidR="00AB7655">
        <w:rPr>
          <w:rFonts w:ascii="Times New Roman" w:hAnsi="Times New Roman"/>
          <w:sz w:val="24"/>
          <w:szCs w:val="24"/>
        </w:rPr>
        <w:t xml:space="preserve">prihode koji </w:t>
      </w:r>
      <w:r>
        <w:rPr>
          <w:rFonts w:ascii="Times New Roman" w:hAnsi="Times New Roman"/>
          <w:sz w:val="24"/>
          <w:szCs w:val="24"/>
        </w:rPr>
        <w:t xml:space="preserve">su </w:t>
      </w:r>
      <w:r w:rsidR="00FD47E8">
        <w:rPr>
          <w:rFonts w:ascii="Times New Roman" w:hAnsi="Times New Roman"/>
          <w:sz w:val="24"/>
          <w:szCs w:val="24"/>
        </w:rPr>
        <w:t>se</w:t>
      </w:r>
      <w:r w:rsidR="0013519E">
        <w:rPr>
          <w:rFonts w:ascii="Times New Roman" w:hAnsi="Times New Roman"/>
          <w:sz w:val="24"/>
          <w:szCs w:val="24"/>
        </w:rPr>
        <w:t>,</w:t>
      </w:r>
      <w:r w:rsidR="00FD47E8">
        <w:rPr>
          <w:rFonts w:ascii="Times New Roman" w:hAnsi="Times New Roman"/>
          <w:sz w:val="24"/>
          <w:szCs w:val="24"/>
        </w:rPr>
        <w:t xml:space="preserve"> sukladno</w:t>
      </w:r>
      <w:r w:rsidR="00AB7655">
        <w:rPr>
          <w:rFonts w:ascii="Times New Roman" w:hAnsi="Times New Roman"/>
          <w:sz w:val="24"/>
          <w:szCs w:val="24"/>
        </w:rPr>
        <w:t xml:space="preserve"> Pravilnik</w:t>
      </w:r>
      <w:r w:rsidR="00FD47E8">
        <w:rPr>
          <w:rFonts w:ascii="Times New Roman" w:hAnsi="Times New Roman"/>
          <w:sz w:val="24"/>
          <w:szCs w:val="24"/>
        </w:rPr>
        <w:t>u</w:t>
      </w:r>
      <w:r w:rsidR="00AB7655">
        <w:rPr>
          <w:rFonts w:ascii="Times New Roman" w:hAnsi="Times New Roman"/>
          <w:sz w:val="24"/>
          <w:szCs w:val="24"/>
        </w:rPr>
        <w:t xml:space="preserve"> o proračunskim klasifikacijama (NN </w:t>
      </w:r>
      <w:r w:rsidR="00FD47E8" w:rsidRPr="00FD47E8">
        <w:rPr>
          <w:rFonts w:ascii="Times New Roman" w:hAnsi="Times New Roman"/>
          <w:sz w:val="24"/>
          <w:szCs w:val="24"/>
        </w:rPr>
        <w:t>4/2024., 122/2025</w:t>
      </w:r>
      <w:r w:rsidR="00FD47E8">
        <w:rPr>
          <w:rFonts w:ascii="Times New Roman" w:hAnsi="Times New Roman"/>
          <w:sz w:val="24"/>
          <w:szCs w:val="24"/>
        </w:rPr>
        <w:t>)</w:t>
      </w:r>
      <w:r w:rsidR="0013519E">
        <w:rPr>
          <w:rFonts w:ascii="Times New Roman" w:hAnsi="Times New Roman"/>
          <w:sz w:val="24"/>
          <w:szCs w:val="24"/>
        </w:rPr>
        <w:t xml:space="preserve">, </w:t>
      </w:r>
      <w:r w:rsidR="00FD47E8">
        <w:rPr>
          <w:rFonts w:ascii="Times New Roman" w:hAnsi="Times New Roman"/>
          <w:sz w:val="24"/>
          <w:szCs w:val="24"/>
        </w:rPr>
        <w:t>u jednom dijelu 2025. godin</w:t>
      </w:r>
      <w:r w:rsidR="0013519E">
        <w:rPr>
          <w:rFonts w:ascii="Times New Roman" w:hAnsi="Times New Roman"/>
          <w:sz w:val="24"/>
          <w:szCs w:val="24"/>
        </w:rPr>
        <w:t>e</w:t>
      </w:r>
      <w:r w:rsidR="00FD47E8">
        <w:rPr>
          <w:rFonts w:ascii="Times New Roman" w:hAnsi="Times New Roman"/>
          <w:sz w:val="24"/>
          <w:szCs w:val="24"/>
        </w:rPr>
        <w:t xml:space="preserve"> vodili na izvoru 52, a u drugom dijelu 2025. godine na izvoru </w:t>
      </w:r>
      <w:r w:rsidR="00D40192" w:rsidRPr="00FD47E8">
        <w:rPr>
          <w:rFonts w:ascii="Times New Roman" w:hAnsi="Times New Roman"/>
          <w:sz w:val="24"/>
          <w:szCs w:val="24"/>
        </w:rPr>
        <w:t>5011</w:t>
      </w:r>
      <w:r w:rsidR="00E970FD" w:rsidRPr="00FD47E8">
        <w:rPr>
          <w:rFonts w:ascii="Times New Roman" w:hAnsi="Times New Roman"/>
          <w:sz w:val="24"/>
          <w:szCs w:val="24"/>
        </w:rPr>
        <w:t xml:space="preserve"> </w:t>
      </w:r>
      <w:r w:rsidR="00E6075C" w:rsidRPr="00FD47E8">
        <w:rPr>
          <w:rFonts w:ascii="Times New Roman" w:hAnsi="Times New Roman"/>
          <w:sz w:val="24"/>
          <w:szCs w:val="24"/>
        </w:rPr>
        <w:t>–</w:t>
      </w:r>
      <w:r w:rsidR="00E970FD" w:rsidRPr="00FD47E8">
        <w:rPr>
          <w:rFonts w:ascii="Times New Roman" w:hAnsi="Times New Roman"/>
          <w:sz w:val="24"/>
          <w:szCs w:val="24"/>
        </w:rPr>
        <w:t xml:space="preserve"> </w:t>
      </w:r>
      <w:bookmarkStart w:id="0" w:name="_Hlk212029254"/>
      <w:r w:rsidR="00E6075C" w:rsidRPr="00FD47E8">
        <w:rPr>
          <w:rFonts w:ascii="Times New Roman" w:hAnsi="Times New Roman"/>
          <w:sz w:val="24"/>
          <w:szCs w:val="24"/>
        </w:rPr>
        <w:t>Pomoći iz državnog proračuna kroz opće prihode i primitke</w:t>
      </w:r>
      <w:r w:rsidR="0033619F" w:rsidRPr="00FD47E8">
        <w:rPr>
          <w:rFonts w:ascii="Times New Roman" w:hAnsi="Times New Roman"/>
          <w:sz w:val="24"/>
          <w:szCs w:val="24"/>
        </w:rPr>
        <w:t xml:space="preserve"> </w:t>
      </w:r>
      <w:r w:rsidR="0033619F" w:rsidRPr="0033619F">
        <w:rPr>
          <w:rFonts w:ascii="Times New Roman" w:hAnsi="Times New Roman"/>
          <w:sz w:val="24"/>
          <w:szCs w:val="24"/>
        </w:rPr>
        <w:t>(dalje izvor 5011)</w:t>
      </w:r>
      <w:r w:rsidR="00FD47E8">
        <w:rPr>
          <w:rFonts w:ascii="Times New Roman" w:hAnsi="Times New Roman"/>
          <w:sz w:val="24"/>
          <w:szCs w:val="24"/>
        </w:rPr>
        <w:t xml:space="preserve">. Na ovom izvoru se prije svega prati </w:t>
      </w:r>
      <w:r w:rsidR="00E87B60">
        <w:rPr>
          <w:rFonts w:ascii="Times New Roman" w:hAnsi="Times New Roman"/>
          <w:sz w:val="24"/>
          <w:szCs w:val="24"/>
        </w:rPr>
        <w:t xml:space="preserve">projektno </w:t>
      </w:r>
      <w:r w:rsidR="00E87B60">
        <w:rPr>
          <w:rFonts w:ascii="Times New Roman" w:hAnsi="Times New Roman"/>
          <w:sz w:val="24"/>
          <w:szCs w:val="24"/>
        </w:rPr>
        <w:lastRenderedPageBreak/>
        <w:t>financiranje znanstvene djelatnosti koju provodi Ministarstvo znanosti, obrazovanja i mladih te Sveučilište u Zagrebu, program doktoranada i poslijedoktoranada Hrvatske zaklade za znanost</w:t>
      </w:r>
      <w:r w:rsidR="00832EFD">
        <w:rPr>
          <w:rFonts w:ascii="Times New Roman" w:hAnsi="Times New Roman"/>
          <w:sz w:val="24"/>
          <w:szCs w:val="24"/>
        </w:rPr>
        <w:t xml:space="preserve"> te djelomično program razvoja karijera mladih istraživača odnosno  izobrazba novih doktora znanosti.</w:t>
      </w:r>
      <w:r w:rsidR="008D3ED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FD47E8">
        <w:rPr>
          <w:rFonts w:ascii="Times New Roman" w:hAnsi="Times New Roman"/>
          <w:sz w:val="24"/>
          <w:szCs w:val="24"/>
        </w:rPr>
        <w:t xml:space="preserve">U odnosu na 2024. godinu ovi prihodi su za </w:t>
      </w:r>
      <w:r w:rsidR="00951C41">
        <w:rPr>
          <w:rFonts w:ascii="Times New Roman" w:hAnsi="Times New Roman"/>
          <w:sz w:val="24"/>
          <w:szCs w:val="24"/>
        </w:rPr>
        <w:t>63% niž</w:t>
      </w:r>
      <w:r w:rsidR="00474E94">
        <w:rPr>
          <w:rFonts w:ascii="Times New Roman" w:hAnsi="Times New Roman"/>
          <w:sz w:val="24"/>
          <w:szCs w:val="24"/>
        </w:rPr>
        <w:t>i</w:t>
      </w:r>
      <w:r w:rsidR="00531B3A">
        <w:rPr>
          <w:rFonts w:ascii="Times New Roman" w:hAnsi="Times New Roman"/>
          <w:sz w:val="24"/>
          <w:szCs w:val="24"/>
        </w:rPr>
        <w:t>, a razlog tome leži u različitom evidentiranju izvora za sredstva iz programa Erasmus</w:t>
      </w:r>
      <w:r w:rsidR="0013519E">
        <w:rPr>
          <w:rFonts w:ascii="Times New Roman" w:hAnsi="Times New Roman"/>
          <w:sz w:val="24"/>
          <w:szCs w:val="24"/>
        </w:rPr>
        <w:t>+</w:t>
      </w:r>
      <w:r w:rsidR="00531B3A">
        <w:rPr>
          <w:rFonts w:ascii="Times New Roman" w:hAnsi="Times New Roman"/>
          <w:sz w:val="24"/>
          <w:szCs w:val="24"/>
        </w:rPr>
        <w:t xml:space="preserve"> te </w:t>
      </w:r>
      <w:r w:rsidR="009271D8">
        <w:rPr>
          <w:rFonts w:ascii="Times New Roman" w:hAnsi="Times New Roman"/>
          <w:sz w:val="24"/>
          <w:szCs w:val="24"/>
        </w:rPr>
        <w:t xml:space="preserve">za projekt NRLE </w:t>
      </w:r>
      <w:r w:rsidR="00544291">
        <w:rPr>
          <w:rFonts w:ascii="Times New Roman" w:hAnsi="Times New Roman"/>
          <w:sz w:val="24"/>
          <w:szCs w:val="24"/>
        </w:rPr>
        <w:t>-</w:t>
      </w:r>
      <w:r w:rsidR="009F1F3F">
        <w:rPr>
          <w:rFonts w:ascii="Times New Roman" w:hAnsi="Times New Roman"/>
          <w:sz w:val="24"/>
          <w:szCs w:val="24"/>
        </w:rPr>
        <w:t xml:space="preserve"> Nacionalni referentni laboratorij za emisije iz motora s unutarnjim izgaranjem za necestovne pokretne strojeve koji s</w:t>
      </w:r>
      <w:r w:rsidR="004F0F37">
        <w:rPr>
          <w:rFonts w:ascii="Times New Roman" w:hAnsi="Times New Roman"/>
          <w:sz w:val="24"/>
          <w:szCs w:val="24"/>
        </w:rPr>
        <w:t>e od 2025. godine kompletno vodi na izvoru 563.</w:t>
      </w:r>
    </w:p>
    <w:p w14:paraId="282BE98D" w14:textId="183A56AB" w:rsidR="00016498" w:rsidRDefault="00544291" w:rsidP="00016498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 iz i</w:t>
      </w:r>
      <w:r w:rsidR="008A2C63">
        <w:rPr>
          <w:rFonts w:ascii="Times New Roman" w:hAnsi="Times New Roman"/>
          <w:sz w:val="24"/>
          <w:szCs w:val="24"/>
        </w:rPr>
        <w:t>zvor</w:t>
      </w:r>
      <w:r>
        <w:rPr>
          <w:rFonts w:ascii="Times New Roman" w:hAnsi="Times New Roman"/>
          <w:sz w:val="24"/>
          <w:szCs w:val="24"/>
        </w:rPr>
        <w:t>a</w:t>
      </w:r>
      <w:r w:rsidR="008A2C63">
        <w:rPr>
          <w:rFonts w:ascii="Times New Roman" w:hAnsi="Times New Roman"/>
          <w:sz w:val="24"/>
          <w:szCs w:val="24"/>
        </w:rPr>
        <w:t xml:space="preserve"> finaniranja </w:t>
      </w:r>
      <w:r w:rsidR="009D52E7" w:rsidRPr="009F1EC9">
        <w:rPr>
          <w:rFonts w:ascii="Times New Roman" w:hAnsi="Times New Roman"/>
          <w:b/>
          <w:bCs/>
          <w:sz w:val="24"/>
          <w:szCs w:val="24"/>
        </w:rPr>
        <w:t>510 – Programi Unije</w:t>
      </w:r>
      <w:r w:rsidR="009D52E7">
        <w:rPr>
          <w:rFonts w:ascii="Times New Roman" w:hAnsi="Times New Roman"/>
          <w:sz w:val="24"/>
          <w:szCs w:val="24"/>
        </w:rPr>
        <w:t xml:space="preserve"> </w:t>
      </w:r>
      <w:r w:rsidR="0033619F">
        <w:rPr>
          <w:rFonts w:ascii="Times New Roman" w:hAnsi="Times New Roman"/>
          <w:sz w:val="24"/>
          <w:szCs w:val="24"/>
        </w:rPr>
        <w:t>(dalje izvor 510)</w:t>
      </w:r>
      <w:r w:rsidR="004F0F37">
        <w:rPr>
          <w:rFonts w:ascii="Times New Roman" w:hAnsi="Times New Roman"/>
          <w:sz w:val="24"/>
          <w:szCs w:val="24"/>
        </w:rPr>
        <w:t xml:space="preserve"> je u 2025. planiran</w:t>
      </w:r>
      <w:r>
        <w:rPr>
          <w:rFonts w:ascii="Times New Roman" w:hAnsi="Times New Roman"/>
          <w:sz w:val="24"/>
          <w:szCs w:val="24"/>
        </w:rPr>
        <w:t>i su</w:t>
      </w:r>
      <w:r w:rsidR="004F0F37">
        <w:rPr>
          <w:rFonts w:ascii="Times New Roman" w:hAnsi="Times New Roman"/>
          <w:sz w:val="24"/>
          <w:szCs w:val="24"/>
        </w:rPr>
        <w:t xml:space="preserve"> u iznosu od</w:t>
      </w:r>
      <w:r w:rsidR="0033619F">
        <w:rPr>
          <w:rFonts w:ascii="Times New Roman" w:hAnsi="Times New Roman"/>
          <w:sz w:val="24"/>
          <w:szCs w:val="24"/>
        </w:rPr>
        <w:t xml:space="preserve"> </w:t>
      </w:r>
      <w:r w:rsidR="00212E62" w:rsidRPr="00212E62">
        <w:rPr>
          <w:rFonts w:ascii="Times New Roman" w:hAnsi="Times New Roman"/>
          <w:sz w:val="24"/>
          <w:szCs w:val="24"/>
        </w:rPr>
        <w:t>1.198.984</w:t>
      </w:r>
      <w:r w:rsidR="00212E62">
        <w:rPr>
          <w:rFonts w:ascii="Times New Roman" w:hAnsi="Times New Roman"/>
          <w:sz w:val="24"/>
          <w:szCs w:val="24"/>
        </w:rPr>
        <w:t xml:space="preserve"> </w:t>
      </w:r>
      <w:r w:rsidR="002C768B">
        <w:rPr>
          <w:rFonts w:ascii="Times New Roman" w:hAnsi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>,</w:t>
      </w:r>
      <w:r w:rsidR="002C768B">
        <w:rPr>
          <w:rFonts w:ascii="Times New Roman" w:hAnsi="Times New Roman"/>
          <w:sz w:val="24"/>
          <w:szCs w:val="24"/>
        </w:rPr>
        <w:t xml:space="preserve"> odnosno 24% ukupn</w:t>
      </w:r>
      <w:r>
        <w:rPr>
          <w:rFonts w:ascii="Times New Roman" w:hAnsi="Times New Roman"/>
          <w:sz w:val="24"/>
          <w:szCs w:val="24"/>
        </w:rPr>
        <w:t>o planiranih</w:t>
      </w:r>
      <w:r w:rsidR="002C768B">
        <w:rPr>
          <w:rFonts w:ascii="Times New Roman" w:hAnsi="Times New Roman"/>
          <w:sz w:val="24"/>
          <w:szCs w:val="24"/>
        </w:rPr>
        <w:t xml:space="preserve"> prihoda, a ostvaren</w:t>
      </w:r>
      <w:r>
        <w:rPr>
          <w:rFonts w:ascii="Times New Roman" w:hAnsi="Times New Roman"/>
          <w:sz w:val="24"/>
          <w:szCs w:val="24"/>
        </w:rPr>
        <w:t>i su</w:t>
      </w:r>
      <w:r w:rsidR="002C768B">
        <w:rPr>
          <w:rFonts w:ascii="Times New Roman" w:hAnsi="Times New Roman"/>
          <w:sz w:val="24"/>
          <w:szCs w:val="24"/>
        </w:rPr>
        <w:t xml:space="preserve"> u iznosu od </w:t>
      </w:r>
      <w:r w:rsidR="00212E62" w:rsidRPr="00212E62">
        <w:rPr>
          <w:rFonts w:ascii="Times New Roman" w:hAnsi="Times New Roman"/>
          <w:sz w:val="24"/>
          <w:szCs w:val="24"/>
        </w:rPr>
        <w:t>4.861.166</w:t>
      </w:r>
      <w:r w:rsidR="009523CB">
        <w:rPr>
          <w:rFonts w:ascii="Times New Roman" w:hAnsi="Times New Roman"/>
          <w:sz w:val="24"/>
          <w:szCs w:val="24"/>
        </w:rPr>
        <w:t xml:space="preserve"> </w:t>
      </w:r>
      <w:r w:rsidR="00212E62">
        <w:rPr>
          <w:rFonts w:ascii="Times New Roman" w:hAnsi="Times New Roman"/>
          <w:sz w:val="24"/>
          <w:szCs w:val="24"/>
        </w:rPr>
        <w:t xml:space="preserve">€ odnosno </w:t>
      </w:r>
      <w:r w:rsidR="00B40F92">
        <w:rPr>
          <w:rFonts w:ascii="Times New Roman" w:hAnsi="Times New Roman"/>
          <w:sz w:val="24"/>
          <w:szCs w:val="24"/>
        </w:rPr>
        <w:t xml:space="preserve">10% ukupno ostvarenih prihoda. </w:t>
      </w:r>
      <w:r w:rsidR="00BD2EA0">
        <w:rPr>
          <w:rFonts w:ascii="Times New Roman" w:hAnsi="Times New Roman"/>
          <w:sz w:val="24"/>
          <w:szCs w:val="24"/>
        </w:rPr>
        <w:t>Prihodi s ove osnove ostvar</w:t>
      </w:r>
      <w:r>
        <w:rPr>
          <w:rFonts w:ascii="Times New Roman" w:hAnsi="Times New Roman"/>
          <w:sz w:val="24"/>
          <w:szCs w:val="24"/>
        </w:rPr>
        <w:t>eni</w:t>
      </w:r>
      <w:r w:rsidR="00BD2EA0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u</w:t>
      </w:r>
      <w:r w:rsidR="00BD2EA0">
        <w:rPr>
          <w:rFonts w:ascii="Times New Roman" w:hAnsi="Times New Roman"/>
          <w:sz w:val="24"/>
          <w:szCs w:val="24"/>
        </w:rPr>
        <w:t xml:space="preserve"> na temelju </w:t>
      </w:r>
      <w:r w:rsidR="00FD7473">
        <w:rPr>
          <w:rFonts w:ascii="Times New Roman" w:hAnsi="Times New Roman"/>
          <w:sz w:val="24"/>
          <w:szCs w:val="24"/>
        </w:rPr>
        <w:t xml:space="preserve">aktivnih </w:t>
      </w:r>
      <w:r w:rsidR="00BD2EA0">
        <w:rPr>
          <w:rFonts w:ascii="Times New Roman" w:hAnsi="Times New Roman"/>
          <w:sz w:val="24"/>
          <w:szCs w:val="24"/>
        </w:rPr>
        <w:t>ug</w:t>
      </w:r>
      <w:r w:rsidR="000A1DD3">
        <w:rPr>
          <w:rFonts w:ascii="Times New Roman" w:hAnsi="Times New Roman"/>
          <w:sz w:val="24"/>
          <w:szCs w:val="24"/>
        </w:rPr>
        <w:t>ovora o dodjeli bespovratnih sredstava EU</w:t>
      </w:r>
      <w:r w:rsidR="00144C0D">
        <w:rPr>
          <w:rFonts w:ascii="Times New Roman" w:hAnsi="Times New Roman"/>
          <w:sz w:val="24"/>
          <w:szCs w:val="24"/>
        </w:rPr>
        <w:t>, direktno od Europske komisije ili putem provedbenog tijela u inozemstvu ili Hrvatskoj</w:t>
      </w:r>
      <w:r w:rsidR="00126F52">
        <w:rPr>
          <w:rFonts w:ascii="Times New Roman" w:hAnsi="Times New Roman"/>
          <w:sz w:val="24"/>
          <w:szCs w:val="24"/>
        </w:rPr>
        <w:t xml:space="preserve">, u kojima fakultet sudjeluje kao koordinator, vodeći partner ili partner. </w:t>
      </w:r>
      <w:r w:rsidR="00016498">
        <w:rPr>
          <w:rFonts w:ascii="Times New Roman" w:hAnsi="Times New Roman"/>
          <w:sz w:val="24"/>
          <w:szCs w:val="24"/>
        </w:rPr>
        <w:t>S obzirom na dinamiku objave poziva za projektno financiranje</w:t>
      </w:r>
      <w:r w:rsidR="004E7EC8">
        <w:rPr>
          <w:rFonts w:ascii="Times New Roman" w:hAnsi="Times New Roman"/>
          <w:sz w:val="24"/>
          <w:szCs w:val="24"/>
        </w:rPr>
        <w:t>, prijave i odobrenja proje</w:t>
      </w:r>
      <w:r w:rsidR="004661E1">
        <w:rPr>
          <w:rFonts w:ascii="Times New Roman" w:hAnsi="Times New Roman"/>
          <w:sz w:val="24"/>
          <w:szCs w:val="24"/>
        </w:rPr>
        <w:t>k</w:t>
      </w:r>
      <w:r w:rsidR="004E7EC8">
        <w:rPr>
          <w:rFonts w:ascii="Times New Roman" w:hAnsi="Times New Roman"/>
          <w:sz w:val="24"/>
          <w:szCs w:val="24"/>
        </w:rPr>
        <w:t>ata</w:t>
      </w:r>
      <w:r w:rsidR="004661E1">
        <w:rPr>
          <w:rFonts w:ascii="Times New Roman" w:hAnsi="Times New Roman"/>
          <w:sz w:val="24"/>
          <w:szCs w:val="24"/>
        </w:rPr>
        <w:t>,</w:t>
      </w:r>
      <w:r w:rsidR="004E7EC8">
        <w:rPr>
          <w:rFonts w:ascii="Times New Roman" w:hAnsi="Times New Roman"/>
          <w:sz w:val="24"/>
          <w:szCs w:val="24"/>
        </w:rPr>
        <w:t xml:space="preserve"> kao i aktivnosti na projektima koji su u tijeku</w:t>
      </w:r>
      <w:r w:rsidR="004661E1">
        <w:rPr>
          <w:rFonts w:ascii="Times New Roman" w:hAnsi="Times New Roman"/>
          <w:sz w:val="24"/>
          <w:szCs w:val="24"/>
        </w:rPr>
        <w:t>,</w:t>
      </w:r>
      <w:r w:rsidR="00ED410A">
        <w:rPr>
          <w:rFonts w:ascii="Times New Roman" w:hAnsi="Times New Roman"/>
          <w:sz w:val="24"/>
          <w:szCs w:val="24"/>
        </w:rPr>
        <w:t xml:space="preserve"> ovaj izvor financiranja </w:t>
      </w:r>
      <w:r w:rsidR="00835CED">
        <w:rPr>
          <w:rFonts w:ascii="Times New Roman" w:hAnsi="Times New Roman"/>
          <w:sz w:val="24"/>
          <w:szCs w:val="24"/>
        </w:rPr>
        <w:t>je kontinuirano dinamičan</w:t>
      </w:r>
      <w:r w:rsidR="00E37FCD">
        <w:rPr>
          <w:rFonts w:ascii="Times New Roman" w:hAnsi="Times New Roman"/>
          <w:sz w:val="24"/>
          <w:szCs w:val="24"/>
        </w:rPr>
        <w:t xml:space="preserve"> u smislu objektivne procjene za plan. </w:t>
      </w:r>
      <w:r w:rsidR="00BC3682">
        <w:rPr>
          <w:rFonts w:ascii="Times New Roman" w:hAnsi="Times New Roman"/>
          <w:sz w:val="24"/>
          <w:szCs w:val="24"/>
        </w:rPr>
        <w:t xml:space="preserve">U odnosu na 2024. </w:t>
      </w:r>
      <w:r w:rsidR="00631891">
        <w:rPr>
          <w:rFonts w:ascii="Times New Roman" w:hAnsi="Times New Roman"/>
          <w:sz w:val="24"/>
          <w:szCs w:val="24"/>
        </w:rPr>
        <w:t xml:space="preserve">iz ovog je izvora ostvareno </w:t>
      </w:r>
      <w:r w:rsidR="00D65508">
        <w:rPr>
          <w:rFonts w:ascii="Times New Roman" w:hAnsi="Times New Roman"/>
          <w:sz w:val="24"/>
          <w:szCs w:val="24"/>
        </w:rPr>
        <w:t>8% više prihoda u 2025. godinu</w:t>
      </w:r>
      <w:r w:rsidR="00177A09">
        <w:rPr>
          <w:rFonts w:ascii="Times New Roman" w:hAnsi="Times New Roman"/>
          <w:sz w:val="24"/>
          <w:szCs w:val="24"/>
        </w:rPr>
        <w:t xml:space="preserve">, a što dodatno ide u prilog dinamičnosti planiranja i izvršenja ovog izvora a ujedno i pokazuje uspješnost fakulteta u </w:t>
      </w:r>
      <w:r w:rsidR="00495517">
        <w:rPr>
          <w:rFonts w:ascii="Times New Roman" w:hAnsi="Times New Roman"/>
          <w:sz w:val="24"/>
          <w:szCs w:val="24"/>
        </w:rPr>
        <w:t xml:space="preserve">prijavama i odobrenjima te u konačnici i </w:t>
      </w:r>
      <w:r w:rsidR="00F14C63">
        <w:rPr>
          <w:rFonts w:ascii="Times New Roman" w:hAnsi="Times New Roman"/>
          <w:sz w:val="24"/>
          <w:szCs w:val="24"/>
        </w:rPr>
        <w:t xml:space="preserve">povlačenju sredstava iz </w:t>
      </w:r>
      <w:r w:rsidR="00495517">
        <w:rPr>
          <w:rFonts w:ascii="Times New Roman" w:hAnsi="Times New Roman"/>
          <w:sz w:val="24"/>
          <w:szCs w:val="24"/>
        </w:rPr>
        <w:t xml:space="preserve">izravno upravljanih </w:t>
      </w:r>
      <w:r w:rsidR="00F14C63">
        <w:rPr>
          <w:rFonts w:ascii="Times New Roman" w:hAnsi="Times New Roman"/>
          <w:sz w:val="24"/>
          <w:szCs w:val="24"/>
        </w:rPr>
        <w:t>f</w:t>
      </w:r>
      <w:r w:rsidR="005818D2">
        <w:rPr>
          <w:rFonts w:ascii="Times New Roman" w:hAnsi="Times New Roman"/>
          <w:sz w:val="24"/>
          <w:szCs w:val="24"/>
        </w:rPr>
        <w:t>ondova EU</w:t>
      </w:r>
      <w:r w:rsidR="00495517">
        <w:rPr>
          <w:rFonts w:ascii="Times New Roman" w:hAnsi="Times New Roman"/>
          <w:sz w:val="24"/>
          <w:szCs w:val="24"/>
        </w:rPr>
        <w:t>.</w:t>
      </w:r>
    </w:p>
    <w:p w14:paraId="73DF7035" w14:textId="7DDA10D0" w:rsidR="00FE0954" w:rsidRPr="008A2C63" w:rsidRDefault="004661E1" w:rsidP="0002027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1" w:name="_Hlk212029611"/>
      <w:r>
        <w:rPr>
          <w:rFonts w:ascii="Times New Roman" w:hAnsi="Times New Roman"/>
          <w:sz w:val="24"/>
          <w:szCs w:val="24"/>
        </w:rPr>
        <w:t>Prihodi iz i</w:t>
      </w:r>
      <w:r w:rsidR="00FE0954" w:rsidRPr="00FE0954">
        <w:rPr>
          <w:rFonts w:ascii="Times New Roman" w:hAnsi="Times New Roman"/>
          <w:sz w:val="24"/>
          <w:szCs w:val="24"/>
        </w:rPr>
        <w:t>zvor</w:t>
      </w:r>
      <w:r>
        <w:rPr>
          <w:rFonts w:ascii="Times New Roman" w:hAnsi="Times New Roman"/>
          <w:sz w:val="24"/>
          <w:szCs w:val="24"/>
        </w:rPr>
        <w:t>a</w:t>
      </w:r>
      <w:r w:rsidR="00FE0954" w:rsidRPr="00FE0954">
        <w:rPr>
          <w:rFonts w:ascii="Times New Roman" w:hAnsi="Times New Roman"/>
          <w:sz w:val="24"/>
          <w:szCs w:val="24"/>
        </w:rPr>
        <w:t xml:space="preserve"> financiranja </w:t>
      </w:r>
      <w:r w:rsidR="00FE0954" w:rsidRPr="00FE0954">
        <w:rPr>
          <w:rFonts w:ascii="Times New Roman" w:hAnsi="Times New Roman"/>
          <w:b/>
          <w:bCs/>
          <w:sz w:val="24"/>
          <w:szCs w:val="24"/>
        </w:rPr>
        <w:t>563 –</w:t>
      </w:r>
      <w:r w:rsidR="00FE0954" w:rsidRPr="008A2C63">
        <w:rPr>
          <w:rFonts w:ascii="Times New Roman" w:hAnsi="Times New Roman"/>
          <w:b/>
          <w:bCs/>
          <w:sz w:val="24"/>
          <w:szCs w:val="24"/>
        </w:rPr>
        <w:t xml:space="preserve"> Europski fond za regionalni razvoj</w:t>
      </w:r>
      <w:r w:rsidR="00FE0954" w:rsidRPr="008A2C63">
        <w:rPr>
          <w:rFonts w:ascii="Times New Roman" w:hAnsi="Times New Roman"/>
          <w:sz w:val="24"/>
          <w:szCs w:val="24"/>
        </w:rPr>
        <w:t xml:space="preserve"> (dalje izvor 563)</w:t>
      </w:r>
      <w:r w:rsidR="00B46A5B">
        <w:rPr>
          <w:rFonts w:ascii="Times New Roman" w:hAnsi="Times New Roman"/>
          <w:sz w:val="24"/>
          <w:szCs w:val="24"/>
        </w:rPr>
        <w:t xml:space="preserve"> u 2025.</w:t>
      </w:r>
      <w:r w:rsidR="007536F5">
        <w:rPr>
          <w:rFonts w:ascii="Times New Roman" w:hAnsi="Times New Roman"/>
          <w:sz w:val="24"/>
          <w:szCs w:val="24"/>
        </w:rPr>
        <w:t xml:space="preserve"> ni</w:t>
      </w:r>
      <w:r>
        <w:rPr>
          <w:rFonts w:ascii="Times New Roman" w:hAnsi="Times New Roman"/>
          <w:sz w:val="24"/>
          <w:szCs w:val="24"/>
        </w:rPr>
        <w:t>su bili</w:t>
      </w:r>
      <w:r w:rsidR="00B46A5B">
        <w:rPr>
          <w:rFonts w:ascii="Times New Roman" w:hAnsi="Times New Roman"/>
          <w:sz w:val="24"/>
          <w:szCs w:val="24"/>
        </w:rPr>
        <w:t xml:space="preserve"> planiran</w:t>
      </w:r>
      <w:r>
        <w:rPr>
          <w:rFonts w:ascii="Times New Roman" w:hAnsi="Times New Roman"/>
          <w:sz w:val="24"/>
          <w:szCs w:val="24"/>
        </w:rPr>
        <w:t>i</w:t>
      </w:r>
      <w:r w:rsidR="007536F5">
        <w:rPr>
          <w:rFonts w:ascii="Times New Roman" w:hAnsi="Times New Roman"/>
          <w:sz w:val="24"/>
          <w:szCs w:val="24"/>
        </w:rPr>
        <w:t>, budući</w:t>
      </w:r>
      <w:r w:rsidR="00206AC0">
        <w:rPr>
          <w:rFonts w:ascii="Times New Roman" w:hAnsi="Times New Roman"/>
          <w:sz w:val="24"/>
          <w:szCs w:val="24"/>
        </w:rPr>
        <w:t xml:space="preserve"> da</w:t>
      </w:r>
      <w:r w:rsidR="007536F5">
        <w:rPr>
          <w:rFonts w:ascii="Times New Roman" w:hAnsi="Times New Roman"/>
          <w:sz w:val="24"/>
          <w:szCs w:val="24"/>
        </w:rPr>
        <w:t xml:space="preserve"> </w:t>
      </w:r>
      <w:r w:rsidR="00F83CC9">
        <w:rPr>
          <w:rFonts w:ascii="Times New Roman" w:hAnsi="Times New Roman"/>
          <w:sz w:val="24"/>
          <w:szCs w:val="24"/>
        </w:rPr>
        <w:t xml:space="preserve">su se svi </w:t>
      </w:r>
      <w:r w:rsidR="007536F5">
        <w:rPr>
          <w:rFonts w:ascii="Times New Roman" w:hAnsi="Times New Roman"/>
          <w:sz w:val="24"/>
          <w:szCs w:val="24"/>
        </w:rPr>
        <w:t xml:space="preserve">projekti </w:t>
      </w:r>
      <w:r w:rsidR="00F83CC9">
        <w:rPr>
          <w:rFonts w:ascii="Times New Roman" w:hAnsi="Times New Roman"/>
          <w:sz w:val="24"/>
          <w:szCs w:val="24"/>
        </w:rPr>
        <w:t xml:space="preserve">financirani iz sredstava EU </w:t>
      </w:r>
      <w:r w:rsidR="008B2397">
        <w:rPr>
          <w:rFonts w:ascii="Times New Roman" w:hAnsi="Times New Roman"/>
          <w:sz w:val="24"/>
          <w:szCs w:val="24"/>
        </w:rPr>
        <w:t xml:space="preserve">kojima je upravljačko tijelo bilo iz inozemstva </w:t>
      </w:r>
      <w:r w:rsidR="00F83CC9">
        <w:rPr>
          <w:rFonts w:ascii="Times New Roman" w:hAnsi="Times New Roman"/>
          <w:sz w:val="24"/>
          <w:szCs w:val="24"/>
        </w:rPr>
        <w:t>evidentirali uglavnom na izvoru 51</w:t>
      </w:r>
      <w:r w:rsidR="00D51B01">
        <w:rPr>
          <w:rFonts w:ascii="Times New Roman" w:hAnsi="Times New Roman"/>
          <w:sz w:val="24"/>
          <w:szCs w:val="24"/>
        </w:rPr>
        <w:t xml:space="preserve">, a zbog shvaćanja da samo prekogranična suradnja kojoj je provedbeno tijelo u RH </w:t>
      </w:r>
      <w:r w:rsidR="009F5D04">
        <w:rPr>
          <w:rFonts w:ascii="Times New Roman" w:hAnsi="Times New Roman"/>
          <w:sz w:val="24"/>
          <w:szCs w:val="24"/>
        </w:rPr>
        <w:t>mora biti evidentirana na izvoru 563</w:t>
      </w:r>
      <w:r w:rsidR="00206AC0">
        <w:rPr>
          <w:rFonts w:ascii="Times New Roman" w:hAnsi="Times New Roman"/>
          <w:sz w:val="24"/>
          <w:szCs w:val="24"/>
        </w:rPr>
        <w:t xml:space="preserve">. </w:t>
      </w:r>
      <w:r w:rsidR="00235374">
        <w:rPr>
          <w:rFonts w:ascii="Times New Roman" w:hAnsi="Times New Roman"/>
          <w:sz w:val="24"/>
          <w:szCs w:val="24"/>
        </w:rPr>
        <w:t>Međutim na</w:t>
      </w:r>
      <w:r>
        <w:rPr>
          <w:rFonts w:ascii="Times New Roman" w:hAnsi="Times New Roman"/>
          <w:sz w:val="24"/>
          <w:szCs w:val="24"/>
        </w:rPr>
        <w:t xml:space="preserve"> ovom izvoru </w:t>
      </w:r>
      <w:r w:rsidR="00235374">
        <w:rPr>
          <w:rFonts w:ascii="Times New Roman" w:hAnsi="Times New Roman"/>
          <w:sz w:val="24"/>
          <w:szCs w:val="24"/>
        </w:rPr>
        <w:t xml:space="preserve">je ostvaren iznos od </w:t>
      </w:r>
      <w:r w:rsidR="00235374" w:rsidRPr="00235374">
        <w:rPr>
          <w:rFonts w:ascii="Times New Roman" w:hAnsi="Times New Roman"/>
          <w:sz w:val="24"/>
          <w:szCs w:val="24"/>
        </w:rPr>
        <w:t>1.589.26</w:t>
      </w:r>
      <w:r w:rsidR="009523CB">
        <w:rPr>
          <w:rFonts w:ascii="Times New Roman" w:hAnsi="Times New Roman"/>
          <w:sz w:val="24"/>
          <w:szCs w:val="24"/>
        </w:rPr>
        <w:t>1 €</w:t>
      </w:r>
      <w:r w:rsidR="009F5D04">
        <w:rPr>
          <w:rFonts w:ascii="Times New Roman" w:hAnsi="Times New Roman"/>
          <w:sz w:val="24"/>
          <w:szCs w:val="24"/>
        </w:rPr>
        <w:t>, a što je rez</w:t>
      </w:r>
      <w:r>
        <w:rPr>
          <w:rFonts w:ascii="Times New Roman" w:hAnsi="Times New Roman"/>
          <w:sz w:val="24"/>
          <w:szCs w:val="24"/>
        </w:rPr>
        <w:t>u</w:t>
      </w:r>
      <w:r w:rsidR="009F5D04">
        <w:rPr>
          <w:rFonts w:ascii="Times New Roman" w:hAnsi="Times New Roman"/>
          <w:sz w:val="24"/>
          <w:szCs w:val="24"/>
        </w:rPr>
        <w:t>ltat evidencije koja je ispravljena u odnosu na plan.</w:t>
      </w:r>
      <w:r w:rsidR="00997DED">
        <w:rPr>
          <w:rFonts w:ascii="Times New Roman" w:hAnsi="Times New Roman"/>
          <w:sz w:val="24"/>
          <w:szCs w:val="24"/>
        </w:rPr>
        <w:t xml:space="preserve"> N</w:t>
      </w:r>
      <w:r w:rsidR="003F043D">
        <w:rPr>
          <w:rFonts w:ascii="Times New Roman" w:hAnsi="Times New Roman"/>
          <w:sz w:val="24"/>
          <w:szCs w:val="24"/>
        </w:rPr>
        <w:t xml:space="preserve">akon izdavanja </w:t>
      </w:r>
      <w:r w:rsidR="00216160" w:rsidRPr="00216160">
        <w:rPr>
          <w:rFonts w:ascii="Times New Roman" w:hAnsi="Times New Roman"/>
          <w:sz w:val="24"/>
          <w:szCs w:val="24"/>
        </w:rPr>
        <w:t>Pravilnik</w:t>
      </w:r>
      <w:r w:rsidR="003F043D">
        <w:rPr>
          <w:rFonts w:ascii="Times New Roman" w:hAnsi="Times New Roman"/>
          <w:sz w:val="24"/>
          <w:szCs w:val="24"/>
        </w:rPr>
        <w:t>a</w:t>
      </w:r>
      <w:r w:rsidR="00216160" w:rsidRPr="00216160">
        <w:rPr>
          <w:rFonts w:ascii="Times New Roman" w:hAnsi="Times New Roman"/>
          <w:sz w:val="24"/>
          <w:szCs w:val="24"/>
        </w:rPr>
        <w:t xml:space="preserve"> o korištenju sredstava Europske unije</w:t>
      </w:r>
      <w:r w:rsidR="00AA6C36">
        <w:rPr>
          <w:rFonts w:ascii="Times New Roman" w:hAnsi="Times New Roman"/>
          <w:sz w:val="24"/>
          <w:szCs w:val="24"/>
        </w:rPr>
        <w:t xml:space="preserve"> </w:t>
      </w:r>
      <w:r w:rsidR="003F043D">
        <w:rPr>
          <w:rFonts w:ascii="Times New Roman" w:hAnsi="Times New Roman"/>
          <w:sz w:val="24"/>
          <w:szCs w:val="24"/>
        </w:rPr>
        <w:t xml:space="preserve">iz kolovoza 2025. </w:t>
      </w:r>
      <w:r w:rsidR="00216160">
        <w:rPr>
          <w:rFonts w:ascii="Times New Roman" w:hAnsi="Times New Roman"/>
          <w:sz w:val="24"/>
          <w:szCs w:val="24"/>
        </w:rPr>
        <w:t>te Uput</w:t>
      </w:r>
      <w:r w:rsidR="003F043D">
        <w:rPr>
          <w:rFonts w:ascii="Times New Roman" w:hAnsi="Times New Roman"/>
          <w:sz w:val="24"/>
          <w:szCs w:val="24"/>
        </w:rPr>
        <w:t>e</w:t>
      </w:r>
      <w:r w:rsidR="00216160">
        <w:rPr>
          <w:rFonts w:ascii="Times New Roman" w:hAnsi="Times New Roman"/>
          <w:sz w:val="24"/>
          <w:szCs w:val="24"/>
        </w:rPr>
        <w:t xml:space="preserve"> </w:t>
      </w:r>
      <w:r w:rsidR="00020271" w:rsidRPr="00020271">
        <w:rPr>
          <w:rFonts w:ascii="Times New Roman" w:hAnsi="Times New Roman"/>
          <w:sz w:val="24"/>
          <w:szCs w:val="24"/>
        </w:rPr>
        <w:t>za računovodstveno</w:t>
      </w:r>
      <w:r w:rsidR="00020271">
        <w:rPr>
          <w:rFonts w:ascii="Times New Roman" w:hAnsi="Times New Roman"/>
          <w:sz w:val="24"/>
          <w:szCs w:val="24"/>
        </w:rPr>
        <w:t xml:space="preserve"> </w:t>
      </w:r>
      <w:r w:rsidR="00020271" w:rsidRPr="00020271">
        <w:rPr>
          <w:rFonts w:ascii="Times New Roman" w:hAnsi="Times New Roman"/>
          <w:sz w:val="24"/>
          <w:szCs w:val="24"/>
        </w:rPr>
        <w:t>evidentiranje sredstava Europske</w:t>
      </w:r>
      <w:r w:rsidR="00206AC0">
        <w:rPr>
          <w:rFonts w:ascii="Times New Roman" w:hAnsi="Times New Roman"/>
          <w:sz w:val="24"/>
          <w:szCs w:val="24"/>
        </w:rPr>
        <w:t xml:space="preserve"> </w:t>
      </w:r>
      <w:r w:rsidR="00F30BA8">
        <w:rPr>
          <w:rFonts w:ascii="Times New Roman" w:hAnsi="Times New Roman"/>
          <w:sz w:val="24"/>
          <w:szCs w:val="24"/>
        </w:rPr>
        <w:t xml:space="preserve">unije, </w:t>
      </w:r>
      <w:r w:rsidR="00206AC0">
        <w:rPr>
          <w:rFonts w:ascii="Times New Roman" w:hAnsi="Times New Roman"/>
          <w:sz w:val="24"/>
          <w:szCs w:val="24"/>
        </w:rPr>
        <w:t>tijekom izvršenja plana</w:t>
      </w:r>
      <w:r w:rsidR="00C859EB">
        <w:rPr>
          <w:rFonts w:ascii="Times New Roman" w:hAnsi="Times New Roman"/>
          <w:sz w:val="24"/>
          <w:szCs w:val="24"/>
        </w:rPr>
        <w:t xml:space="preserve"> se na ovaj izvor počelo evidentirati sredstva dobivena </w:t>
      </w:r>
      <w:r w:rsidR="00997DED">
        <w:rPr>
          <w:rFonts w:ascii="Times New Roman" w:hAnsi="Times New Roman"/>
          <w:sz w:val="24"/>
          <w:szCs w:val="24"/>
        </w:rPr>
        <w:t xml:space="preserve">za </w:t>
      </w:r>
      <w:r w:rsidR="00C859EB">
        <w:rPr>
          <w:rFonts w:ascii="Times New Roman" w:hAnsi="Times New Roman"/>
          <w:sz w:val="24"/>
          <w:szCs w:val="24"/>
        </w:rPr>
        <w:t>projekt</w:t>
      </w:r>
      <w:r w:rsidR="00F30BA8">
        <w:rPr>
          <w:rFonts w:ascii="Times New Roman" w:hAnsi="Times New Roman"/>
          <w:sz w:val="24"/>
          <w:szCs w:val="24"/>
        </w:rPr>
        <w:t>e</w:t>
      </w:r>
      <w:r w:rsidR="00C859EB">
        <w:rPr>
          <w:rFonts w:ascii="Times New Roman" w:hAnsi="Times New Roman"/>
          <w:sz w:val="24"/>
          <w:szCs w:val="24"/>
        </w:rPr>
        <w:t xml:space="preserve"> međugranične suradnj</w:t>
      </w:r>
      <w:r w:rsidR="007C4067">
        <w:rPr>
          <w:rFonts w:ascii="Times New Roman" w:hAnsi="Times New Roman"/>
          <w:sz w:val="24"/>
          <w:szCs w:val="24"/>
        </w:rPr>
        <w:t xml:space="preserve">e. </w:t>
      </w:r>
      <w:r w:rsidR="00021CB4">
        <w:rPr>
          <w:rFonts w:ascii="Times New Roman" w:hAnsi="Times New Roman"/>
          <w:sz w:val="24"/>
          <w:szCs w:val="24"/>
        </w:rPr>
        <w:t>N</w:t>
      </w:r>
      <w:r w:rsidR="00F83CC9">
        <w:rPr>
          <w:rFonts w:ascii="Times New Roman" w:hAnsi="Times New Roman"/>
          <w:sz w:val="24"/>
          <w:szCs w:val="24"/>
        </w:rPr>
        <w:t xml:space="preserve">a ovom </w:t>
      </w:r>
      <w:r w:rsidR="00021CB4">
        <w:rPr>
          <w:rFonts w:ascii="Times New Roman" w:hAnsi="Times New Roman"/>
          <w:sz w:val="24"/>
          <w:szCs w:val="24"/>
        </w:rPr>
        <w:t>i</w:t>
      </w:r>
      <w:r w:rsidR="00F83CC9">
        <w:rPr>
          <w:rFonts w:ascii="Times New Roman" w:hAnsi="Times New Roman"/>
          <w:sz w:val="24"/>
          <w:szCs w:val="24"/>
        </w:rPr>
        <w:t>zvoru</w:t>
      </w:r>
      <w:r w:rsidR="00B46A5B">
        <w:rPr>
          <w:rFonts w:ascii="Times New Roman" w:hAnsi="Times New Roman"/>
          <w:sz w:val="24"/>
          <w:szCs w:val="24"/>
        </w:rPr>
        <w:t xml:space="preserve"> </w:t>
      </w:r>
      <w:r w:rsidR="00021CB4">
        <w:rPr>
          <w:rFonts w:ascii="Times New Roman" w:hAnsi="Times New Roman"/>
          <w:sz w:val="24"/>
          <w:szCs w:val="24"/>
        </w:rPr>
        <w:t xml:space="preserve">je evidentiran </w:t>
      </w:r>
      <w:r w:rsidR="00021CB4" w:rsidRPr="008A2C63">
        <w:rPr>
          <w:rFonts w:ascii="Times New Roman" w:hAnsi="Times New Roman"/>
          <w:sz w:val="24"/>
          <w:szCs w:val="24"/>
        </w:rPr>
        <w:t xml:space="preserve">Projekt </w:t>
      </w:r>
      <w:r w:rsidR="00C37090">
        <w:rPr>
          <w:rFonts w:ascii="Times New Roman" w:hAnsi="Times New Roman"/>
          <w:sz w:val="24"/>
          <w:szCs w:val="24"/>
        </w:rPr>
        <w:t xml:space="preserve">NRLE - </w:t>
      </w:r>
      <w:r w:rsidR="00021CB4" w:rsidRPr="008A2C63">
        <w:rPr>
          <w:rFonts w:ascii="Times New Roman" w:hAnsi="Times New Roman"/>
          <w:sz w:val="24"/>
          <w:szCs w:val="24"/>
        </w:rPr>
        <w:t>Nacionalni referentni laboratorij za emisije iz motora s unutarnjim izgaranjem za NCPS, program K905056 Program konkurentnost i kohezija 2021.-2027.,</w:t>
      </w:r>
      <w:r w:rsidR="00021CB4">
        <w:rPr>
          <w:rFonts w:ascii="Times New Roman" w:hAnsi="Times New Roman"/>
          <w:sz w:val="24"/>
          <w:szCs w:val="24"/>
        </w:rPr>
        <w:t xml:space="preserve"> </w:t>
      </w:r>
      <w:r w:rsidR="00613336">
        <w:rPr>
          <w:rFonts w:ascii="Times New Roman" w:hAnsi="Times New Roman"/>
          <w:sz w:val="24"/>
          <w:szCs w:val="24"/>
        </w:rPr>
        <w:t xml:space="preserve">kojemu je provedbeno tijelo </w:t>
      </w:r>
      <w:r w:rsidR="00FE0954" w:rsidRPr="008A2C63">
        <w:rPr>
          <w:rFonts w:ascii="Times New Roman" w:hAnsi="Times New Roman"/>
          <w:sz w:val="24"/>
          <w:szCs w:val="24"/>
        </w:rPr>
        <w:t>Ministarstv</w:t>
      </w:r>
      <w:r w:rsidR="00C37090">
        <w:rPr>
          <w:rFonts w:ascii="Times New Roman" w:hAnsi="Times New Roman"/>
          <w:sz w:val="24"/>
          <w:szCs w:val="24"/>
        </w:rPr>
        <w:t>o</w:t>
      </w:r>
      <w:r w:rsidR="00FE0954" w:rsidRPr="008A2C63">
        <w:rPr>
          <w:rFonts w:ascii="Times New Roman" w:hAnsi="Times New Roman"/>
          <w:sz w:val="24"/>
          <w:szCs w:val="24"/>
        </w:rPr>
        <w:t xml:space="preserve"> zaštite okoliša i zelene tranzicije</w:t>
      </w:r>
      <w:r w:rsidR="00613336">
        <w:rPr>
          <w:rFonts w:ascii="Times New Roman" w:hAnsi="Times New Roman"/>
          <w:sz w:val="24"/>
          <w:szCs w:val="24"/>
        </w:rPr>
        <w:t>, INTERREG projekti</w:t>
      </w:r>
      <w:r w:rsidR="00FE0954" w:rsidRPr="008A2C63">
        <w:rPr>
          <w:rFonts w:ascii="Times New Roman" w:hAnsi="Times New Roman"/>
          <w:sz w:val="24"/>
          <w:szCs w:val="24"/>
        </w:rPr>
        <w:t xml:space="preserve"> </w:t>
      </w:r>
      <w:r w:rsidR="00613336">
        <w:rPr>
          <w:rFonts w:ascii="Times New Roman" w:hAnsi="Times New Roman"/>
          <w:sz w:val="24"/>
          <w:szCs w:val="24"/>
        </w:rPr>
        <w:t>te projekti financirani iz Europskog fonda za regionalni razvoj</w:t>
      </w:r>
      <w:r w:rsidR="007C0CB9">
        <w:rPr>
          <w:rFonts w:ascii="Times New Roman" w:hAnsi="Times New Roman"/>
          <w:sz w:val="24"/>
          <w:szCs w:val="24"/>
        </w:rPr>
        <w:t xml:space="preserve"> preko provedbenog tijela u RH</w:t>
      </w:r>
      <w:r w:rsidR="00613336">
        <w:rPr>
          <w:rFonts w:ascii="Times New Roman" w:hAnsi="Times New Roman"/>
          <w:sz w:val="24"/>
          <w:szCs w:val="24"/>
        </w:rPr>
        <w:t xml:space="preserve">. </w:t>
      </w:r>
      <w:r w:rsidR="007101E8">
        <w:rPr>
          <w:rFonts w:ascii="Times New Roman" w:hAnsi="Times New Roman"/>
          <w:sz w:val="24"/>
          <w:szCs w:val="24"/>
        </w:rPr>
        <w:t xml:space="preserve">U odnosu na 2024. godinu ostvarenje na ovom izvoru je za </w:t>
      </w:r>
      <w:r w:rsidR="003D3498">
        <w:rPr>
          <w:rFonts w:ascii="Times New Roman" w:hAnsi="Times New Roman"/>
          <w:sz w:val="24"/>
          <w:szCs w:val="24"/>
        </w:rPr>
        <w:t>54%</w:t>
      </w:r>
      <w:r w:rsidR="00090E5F">
        <w:rPr>
          <w:rFonts w:ascii="Times New Roman" w:hAnsi="Times New Roman"/>
          <w:sz w:val="24"/>
          <w:szCs w:val="24"/>
        </w:rPr>
        <w:t xml:space="preserve"> više a što je rezultat dobivenih INTERREG projekata te </w:t>
      </w:r>
      <w:r w:rsidR="00586AB7">
        <w:rPr>
          <w:rFonts w:ascii="Times New Roman" w:hAnsi="Times New Roman"/>
          <w:sz w:val="24"/>
          <w:szCs w:val="24"/>
        </w:rPr>
        <w:t>realizacije projekta NRLE.</w:t>
      </w:r>
    </w:p>
    <w:p w14:paraId="7F43232C" w14:textId="5FC4D2AC" w:rsidR="00FE0954" w:rsidRDefault="00855A55" w:rsidP="00FE095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2" w:name="_Hlk212029476"/>
      <w:bookmarkEnd w:id="1"/>
      <w:r>
        <w:rPr>
          <w:rFonts w:ascii="Times New Roman" w:hAnsi="Times New Roman"/>
          <w:sz w:val="24"/>
          <w:szCs w:val="24"/>
        </w:rPr>
        <w:t>Prihodi iz i</w:t>
      </w:r>
      <w:r w:rsidR="00FE0954" w:rsidRPr="00287192">
        <w:rPr>
          <w:rFonts w:ascii="Times New Roman" w:hAnsi="Times New Roman"/>
          <w:sz w:val="24"/>
          <w:szCs w:val="24"/>
        </w:rPr>
        <w:t xml:space="preserve">zvora financiranja </w:t>
      </w:r>
      <w:r w:rsidR="00FE0954" w:rsidRPr="008526DA">
        <w:rPr>
          <w:rFonts w:ascii="Times New Roman" w:hAnsi="Times New Roman"/>
          <w:b/>
          <w:bCs/>
          <w:sz w:val="24"/>
          <w:szCs w:val="24"/>
        </w:rPr>
        <w:t>581 – Mehanizam za oporavak otpornost</w:t>
      </w:r>
      <w:r w:rsidR="00FE0954" w:rsidRPr="00287192">
        <w:rPr>
          <w:rFonts w:ascii="Times New Roman" w:hAnsi="Times New Roman"/>
          <w:sz w:val="24"/>
          <w:szCs w:val="24"/>
        </w:rPr>
        <w:t xml:space="preserve"> </w:t>
      </w:r>
      <w:r w:rsidR="00FE0954">
        <w:rPr>
          <w:rFonts w:ascii="Times New Roman" w:hAnsi="Times New Roman"/>
          <w:sz w:val="24"/>
          <w:szCs w:val="24"/>
        </w:rPr>
        <w:t xml:space="preserve">(dalje izvor 581) </w:t>
      </w:r>
      <w:r w:rsidR="003F37E6">
        <w:rPr>
          <w:rFonts w:ascii="Times New Roman" w:hAnsi="Times New Roman"/>
          <w:sz w:val="24"/>
          <w:szCs w:val="24"/>
        </w:rPr>
        <w:t>je u 2025. planiran</w:t>
      </w:r>
      <w:r>
        <w:rPr>
          <w:rFonts w:ascii="Times New Roman" w:hAnsi="Times New Roman"/>
          <w:sz w:val="24"/>
          <w:szCs w:val="24"/>
        </w:rPr>
        <w:t xml:space="preserve">i su </w:t>
      </w:r>
      <w:r w:rsidR="003F37E6">
        <w:rPr>
          <w:rFonts w:ascii="Times New Roman" w:hAnsi="Times New Roman"/>
          <w:sz w:val="24"/>
          <w:szCs w:val="24"/>
        </w:rPr>
        <w:t xml:space="preserve">u iznosu od </w:t>
      </w:r>
      <w:r w:rsidR="00755265" w:rsidRPr="00755265">
        <w:rPr>
          <w:rFonts w:ascii="Times New Roman" w:hAnsi="Times New Roman"/>
          <w:sz w:val="24"/>
          <w:szCs w:val="24"/>
        </w:rPr>
        <w:t>961.304</w:t>
      </w:r>
      <w:r w:rsidR="00755265">
        <w:rPr>
          <w:rFonts w:ascii="Times New Roman" w:hAnsi="Times New Roman"/>
          <w:sz w:val="24"/>
          <w:szCs w:val="24"/>
        </w:rPr>
        <w:t xml:space="preserve"> € što je 2% ukupn</w:t>
      </w:r>
      <w:r>
        <w:rPr>
          <w:rFonts w:ascii="Times New Roman" w:hAnsi="Times New Roman"/>
          <w:sz w:val="24"/>
          <w:szCs w:val="24"/>
        </w:rPr>
        <w:t>o</w:t>
      </w:r>
      <w:r w:rsidR="00755265">
        <w:rPr>
          <w:rFonts w:ascii="Times New Roman" w:hAnsi="Times New Roman"/>
          <w:sz w:val="24"/>
          <w:szCs w:val="24"/>
        </w:rPr>
        <w:t xml:space="preserve"> planiranih prihoda, a ostvaren</w:t>
      </w:r>
      <w:r>
        <w:rPr>
          <w:rFonts w:ascii="Times New Roman" w:hAnsi="Times New Roman"/>
          <w:sz w:val="24"/>
          <w:szCs w:val="24"/>
        </w:rPr>
        <w:t>i su</w:t>
      </w:r>
      <w:r w:rsidR="00755265">
        <w:rPr>
          <w:rFonts w:ascii="Times New Roman" w:hAnsi="Times New Roman"/>
          <w:sz w:val="24"/>
          <w:szCs w:val="24"/>
        </w:rPr>
        <w:t xml:space="preserve"> u iznosu od </w:t>
      </w:r>
      <w:r w:rsidR="00755265" w:rsidRPr="00755265">
        <w:rPr>
          <w:rFonts w:ascii="Times New Roman" w:hAnsi="Times New Roman"/>
          <w:sz w:val="24"/>
          <w:szCs w:val="24"/>
        </w:rPr>
        <w:t>1.413.943</w:t>
      </w:r>
      <w:r w:rsidR="00755265">
        <w:rPr>
          <w:rFonts w:ascii="Times New Roman" w:hAnsi="Times New Roman"/>
          <w:sz w:val="24"/>
          <w:szCs w:val="24"/>
        </w:rPr>
        <w:t xml:space="preserve"> €</w:t>
      </w:r>
      <w:r w:rsidR="005579C2">
        <w:rPr>
          <w:rFonts w:ascii="Times New Roman" w:hAnsi="Times New Roman"/>
          <w:sz w:val="24"/>
          <w:szCs w:val="24"/>
        </w:rPr>
        <w:t xml:space="preserve">, </w:t>
      </w:r>
      <w:r w:rsidR="00FE0954">
        <w:rPr>
          <w:rFonts w:ascii="Times New Roman" w:hAnsi="Times New Roman"/>
          <w:sz w:val="24"/>
          <w:szCs w:val="24"/>
        </w:rPr>
        <w:t xml:space="preserve"> </w:t>
      </w:r>
      <w:r w:rsidR="00755265">
        <w:rPr>
          <w:rFonts w:ascii="Times New Roman" w:hAnsi="Times New Roman"/>
          <w:sz w:val="24"/>
          <w:szCs w:val="24"/>
        </w:rPr>
        <w:t xml:space="preserve">odnosno </w:t>
      </w:r>
      <w:r w:rsidR="005579C2">
        <w:rPr>
          <w:rFonts w:ascii="Times New Roman" w:hAnsi="Times New Roman"/>
          <w:sz w:val="24"/>
          <w:szCs w:val="24"/>
        </w:rPr>
        <w:t xml:space="preserve">3% od ukupno ostvarenih prihoda. </w:t>
      </w:r>
      <w:r w:rsidR="00FE0954" w:rsidRPr="00287192">
        <w:rPr>
          <w:rFonts w:ascii="Times New Roman" w:hAnsi="Times New Roman"/>
          <w:sz w:val="24"/>
          <w:szCs w:val="24"/>
        </w:rPr>
        <w:t xml:space="preserve"> </w:t>
      </w:r>
      <w:r w:rsidR="005579C2">
        <w:rPr>
          <w:rFonts w:ascii="Times New Roman" w:hAnsi="Times New Roman"/>
          <w:sz w:val="24"/>
          <w:szCs w:val="24"/>
        </w:rPr>
        <w:t>Iz ovog</w:t>
      </w:r>
      <w:r w:rsidR="00FE0954">
        <w:rPr>
          <w:rFonts w:ascii="Times New Roman" w:hAnsi="Times New Roman"/>
          <w:sz w:val="24"/>
          <w:szCs w:val="24"/>
        </w:rPr>
        <w:t xml:space="preserve"> izvora se financira dio izvedbene komponente programskog ugovora</w:t>
      </w:r>
      <w:r w:rsidR="005579C2">
        <w:rPr>
          <w:rFonts w:ascii="Times New Roman" w:hAnsi="Times New Roman"/>
          <w:sz w:val="24"/>
          <w:szCs w:val="24"/>
        </w:rPr>
        <w:t xml:space="preserve"> - </w:t>
      </w:r>
      <w:r w:rsidR="00FE0954">
        <w:rPr>
          <w:rFonts w:ascii="Times New Roman" w:hAnsi="Times New Roman"/>
          <w:sz w:val="24"/>
          <w:szCs w:val="24"/>
        </w:rPr>
        <w:t>institucionalni projekti Ministarstva znanosti, obrazovanja i mladih</w:t>
      </w:r>
      <w:r w:rsidR="00121F2A">
        <w:rPr>
          <w:rFonts w:ascii="Times New Roman" w:hAnsi="Times New Roman"/>
          <w:sz w:val="24"/>
          <w:szCs w:val="24"/>
        </w:rPr>
        <w:t xml:space="preserve">, drugi znanstveno-istraživački projekti </w:t>
      </w:r>
      <w:r w:rsidR="00F91677">
        <w:rPr>
          <w:rFonts w:ascii="Times New Roman" w:hAnsi="Times New Roman"/>
          <w:sz w:val="24"/>
          <w:szCs w:val="24"/>
        </w:rPr>
        <w:t>iz Nacionalnog programa za oporavak i otpornost kojima Fakultet nije provedbeno tijelo,</w:t>
      </w:r>
      <w:r w:rsidR="00FE0954">
        <w:rPr>
          <w:rFonts w:ascii="Times New Roman" w:hAnsi="Times New Roman"/>
          <w:sz w:val="24"/>
          <w:szCs w:val="24"/>
        </w:rPr>
        <w:t xml:space="preserve"> te djelomično program razvoja karijera mladih istraživača odnosno izobrazba novih doktora znanosti Hrvatske zaklade za znanost</w:t>
      </w:r>
      <w:bookmarkEnd w:id="2"/>
      <w:r w:rsidR="00FE0954">
        <w:rPr>
          <w:rFonts w:ascii="Times New Roman" w:hAnsi="Times New Roman"/>
          <w:sz w:val="24"/>
          <w:szCs w:val="24"/>
        </w:rPr>
        <w:t>.</w:t>
      </w:r>
      <w:r w:rsidR="00586AB7">
        <w:rPr>
          <w:rFonts w:ascii="Times New Roman" w:hAnsi="Times New Roman"/>
          <w:sz w:val="24"/>
          <w:szCs w:val="24"/>
        </w:rPr>
        <w:t xml:space="preserve"> U odnosu na 2024. godinu na ovom je izvoru ostvareno </w:t>
      </w:r>
      <w:r w:rsidR="009004F6">
        <w:rPr>
          <w:rFonts w:ascii="Times New Roman" w:hAnsi="Times New Roman"/>
          <w:sz w:val="24"/>
          <w:szCs w:val="24"/>
        </w:rPr>
        <w:t>4 puta više prihoda</w:t>
      </w:r>
      <w:r w:rsidR="00475031">
        <w:rPr>
          <w:rFonts w:ascii="Times New Roman" w:hAnsi="Times New Roman"/>
          <w:sz w:val="24"/>
          <w:szCs w:val="24"/>
        </w:rPr>
        <w:t>, a prije svega kao rezultat uspješnosti Fakulteta u prijavama i odobravanju projekata.</w:t>
      </w:r>
    </w:p>
    <w:p w14:paraId="5A001E4E" w14:textId="161A4F7A" w:rsidR="00E01054" w:rsidRDefault="0033619F" w:rsidP="00287192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33619F">
        <w:rPr>
          <w:rFonts w:ascii="Times New Roman" w:hAnsi="Times New Roman"/>
          <w:bCs/>
          <w:sz w:val="24"/>
          <w:szCs w:val="24"/>
        </w:rPr>
        <w:t xml:space="preserve">Na </w:t>
      </w:r>
      <w:r w:rsidRPr="00FE0954">
        <w:rPr>
          <w:rFonts w:ascii="Times New Roman" w:hAnsi="Times New Roman"/>
          <w:bCs/>
          <w:sz w:val="24"/>
          <w:szCs w:val="24"/>
        </w:rPr>
        <w:t>izvoru financiranja</w:t>
      </w:r>
      <w:r w:rsidRPr="0033619F">
        <w:rPr>
          <w:rFonts w:ascii="Times New Roman" w:hAnsi="Times New Roman"/>
          <w:b/>
          <w:sz w:val="24"/>
          <w:szCs w:val="24"/>
        </w:rPr>
        <w:t xml:space="preserve"> 61 </w:t>
      </w:r>
      <w:r>
        <w:rPr>
          <w:rFonts w:ascii="Times New Roman" w:hAnsi="Times New Roman"/>
          <w:b/>
          <w:sz w:val="24"/>
          <w:szCs w:val="24"/>
        </w:rPr>
        <w:t>–</w:t>
      </w:r>
      <w:r w:rsidRPr="0033619F">
        <w:rPr>
          <w:rFonts w:ascii="Times New Roman" w:hAnsi="Times New Roman"/>
          <w:b/>
          <w:sz w:val="24"/>
          <w:szCs w:val="24"/>
        </w:rPr>
        <w:t xml:space="preserve"> Donacije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619F">
        <w:rPr>
          <w:rFonts w:ascii="Times New Roman" w:hAnsi="Times New Roman"/>
          <w:bCs/>
          <w:sz w:val="24"/>
          <w:szCs w:val="24"/>
        </w:rPr>
        <w:t>(dalje izvor 61</w:t>
      </w:r>
      <w:r>
        <w:rPr>
          <w:rFonts w:ascii="Times New Roman" w:hAnsi="Times New Roman"/>
          <w:b/>
          <w:sz w:val="24"/>
          <w:szCs w:val="24"/>
        </w:rPr>
        <w:t>)</w:t>
      </w:r>
      <w:r w:rsidR="00927A20">
        <w:rPr>
          <w:rFonts w:ascii="Times New Roman" w:hAnsi="Times New Roman"/>
          <w:bCs/>
          <w:sz w:val="24"/>
          <w:szCs w:val="24"/>
        </w:rPr>
        <w:t xml:space="preserve"> je </w:t>
      </w:r>
      <w:r w:rsidR="00475031">
        <w:rPr>
          <w:rFonts w:ascii="Times New Roman" w:hAnsi="Times New Roman"/>
          <w:bCs/>
          <w:sz w:val="24"/>
          <w:szCs w:val="24"/>
        </w:rPr>
        <w:t xml:space="preserve">u 2025. planirano </w:t>
      </w:r>
      <w:r w:rsidR="002D76AE" w:rsidRPr="002D76AE">
        <w:rPr>
          <w:rFonts w:ascii="Times New Roman" w:hAnsi="Times New Roman"/>
          <w:bCs/>
          <w:sz w:val="24"/>
          <w:szCs w:val="24"/>
        </w:rPr>
        <w:t>932.857</w:t>
      </w:r>
      <w:r w:rsidR="002D76AE">
        <w:rPr>
          <w:rFonts w:ascii="Times New Roman" w:hAnsi="Times New Roman"/>
          <w:bCs/>
          <w:sz w:val="24"/>
          <w:szCs w:val="24"/>
        </w:rPr>
        <w:t xml:space="preserve"> €, što je</w:t>
      </w:r>
      <w:r w:rsidR="00D61F68">
        <w:rPr>
          <w:rFonts w:ascii="Times New Roman" w:hAnsi="Times New Roman"/>
          <w:bCs/>
          <w:sz w:val="24"/>
          <w:szCs w:val="24"/>
        </w:rPr>
        <w:t xml:space="preserve"> oko 2% ukupnog plana prihoda, a ostvareno je </w:t>
      </w:r>
      <w:r w:rsidR="00C559DC" w:rsidRPr="00C559DC">
        <w:rPr>
          <w:rFonts w:ascii="Times New Roman" w:hAnsi="Times New Roman"/>
          <w:bCs/>
          <w:sz w:val="24"/>
          <w:szCs w:val="24"/>
        </w:rPr>
        <w:t>124.944</w:t>
      </w:r>
      <w:r w:rsidR="009F7986">
        <w:rPr>
          <w:rFonts w:ascii="Times New Roman" w:hAnsi="Times New Roman"/>
          <w:bCs/>
          <w:sz w:val="24"/>
          <w:szCs w:val="24"/>
        </w:rPr>
        <w:t xml:space="preserve"> </w:t>
      </w:r>
      <w:r w:rsidR="00C559DC">
        <w:rPr>
          <w:rFonts w:ascii="Times New Roman" w:hAnsi="Times New Roman"/>
          <w:bCs/>
          <w:sz w:val="24"/>
          <w:szCs w:val="24"/>
        </w:rPr>
        <w:t xml:space="preserve">€, odnosno </w:t>
      </w:r>
      <w:r w:rsidR="000D4C73">
        <w:rPr>
          <w:rFonts w:ascii="Times New Roman" w:hAnsi="Times New Roman"/>
          <w:bCs/>
          <w:sz w:val="24"/>
          <w:szCs w:val="24"/>
        </w:rPr>
        <w:t>manje od 1% od ukupno ostvarenih prihoda</w:t>
      </w:r>
      <w:r w:rsidR="00927A20">
        <w:rPr>
          <w:rFonts w:ascii="Times New Roman" w:hAnsi="Times New Roman"/>
          <w:bCs/>
          <w:sz w:val="24"/>
          <w:szCs w:val="24"/>
        </w:rPr>
        <w:t>. Ovaj izvor se o</w:t>
      </w:r>
      <w:r w:rsidRPr="00EE2D5A">
        <w:rPr>
          <w:rFonts w:ascii="Times New Roman" w:hAnsi="Times New Roman"/>
          <w:bCs/>
          <w:sz w:val="24"/>
          <w:szCs w:val="24"/>
        </w:rPr>
        <w:t>dnos</w:t>
      </w:r>
      <w:r w:rsidR="00927A20">
        <w:rPr>
          <w:rFonts w:ascii="Times New Roman" w:hAnsi="Times New Roman"/>
          <w:bCs/>
          <w:sz w:val="24"/>
          <w:szCs w:val="24"/>
        </w:rPr>
        <w:t xml:space="preserve">i </w:t>
      </w:r>
      <w:r w:rsidRPr="00EE2D5A">
        <w:rPr>
          <w:rFonts w:ascii="Times New Roman" w:hAnsi="Times New Roman"/>
          <w:bCs/>
          <w:sz w:val="24"/>
          <w:szCs w:val="24"/>
        </w:rPr>
        <w:t>se na namjenske donacije i uplate za znanstvene projekte na kojima su koordinatori i uplatitelji trgovačka društva i neprofitne organizacije.</w:t>
      </w:r>
      <w:r w:rsidR="000D4C73">
        <w:rPr>
          <w:rFonts w:ascii="Times New Roman" w:hAnsi="Times New Roman"/>
          <w:bCs/>
          <w:sz w:val="24"/>
          <w:szCs w:val="24"/>
        </w:rPr>
        <w:t xml:space="preserve"> Za 2025. godinu su</w:t>
      </w:r>
      <w:r w:rsidR="003130E3">
        <w:rPr>
          <w:rFonts w:ascii="Times New Roman" w:hAnsi="Times New Roman"/>
          <w:bCs/>
          <w:sz w:val="24"/>
          <w:szCs w:val="24"/>
        </w:rPr>
        <w:t xml:space="preserve"> ovi prihodi </w:t>
      </w:r>
      <w:r w:rsidR="000D4C73">
        <w:rPr>
          <w:rFonts w:ascii="Times New Roman" w:hAnsi="Times New Roman"/>
          <w:bCs/>
          <w:sz w:val="24"/>
          <w:szCs w:val="24"/>
        </w:rPr>
        <w:t>ambiciozno</w:t>
      </w:r>
      <w:r w:rsidR="003130E3">
        <w:rPr>
          <w:rFonts w:ascii="Times New Roman" w:hAnsi="Times New Roman"/>
          <w:bCs/>
          <w:sz w:val="24"/>
          <w:szCs w:val="24"/>
        </w:rPr>
        <w:t xml:space="preserve"> planirani</w:t>
      </w:r>
      <w:r w:rsidR="0065578C">
        <w:rPr>
          <w:rFonts w:ascii="Times New Roman" w:hAnsi="Times New Roman"/>
          <w:bCs/>
          <w:sz w:val="24"/>
          <w:szCs w:val="24"/>
        </w:rPr>
        <w:t xml:space="preserve"> zbog očekivanja da će fakultet </w:t>
      </w:r>
      <w:r w:rsidR="002F42A1">
        <w:rPr>
          <w:rFonts w:ascii="Times New Roman" w:hAnsi="Times New Roman"/>
          <w:bCs/>
          <w:sz w:val="24"/>
          <w:szCs w:val="24"/>
        </w:rPr>
        <w:t xml:space="preserve">nakon </w:t>
      </w:r>
      <w:r w:rsidR="0065578C">
        <w:rPr>
          <w:rFonts w:ascii="Times New Roman" w:hAnsi="Times New Roman"/>
          <w:bCs/>
          <w:sz w:val="24"/>
          <w:szCs w:val="24"/>
        </w:rPr>
        <w:t>vrać</w:t>
      </w:r>
      <w:r w:rsidR="002F42A1">
        <w:rPr>
          <w:rFonts w:ascii="Times New Roman" w:hAnsi="Times New Roman"/>
          <w:bCs/>
          <w:sz w:val="24"/>
          <w:szCs w:val="24"/>
        </w:rPr>
        <w:t>anja</w:t>
      </w:r>
      <w:r w:rsidR="0065578C">
        <w:rPr>
          <w:rFonts w:ascii="Times New Roman" w:hAnsi="Times New Roman"/>
          <w:bCs/>
          <w:sz w:val="24"/>
          <w:szCs w:val="24"/>
        </w:rPr>
        <w:t xml:space="preserve"> na obnovljenu lokaciju</w:t>
      </w:r>
      <w:r w:rsidR="0042103B">
        <w:rPr>
          <w:rFonts w:ascii="Times New Roman" w:hAnsi="Times New Roman"/>
          <w:bCs/>
          <w:sz w:val="24"/>
          <w:szCs w:val="24"/>
        </w:rPr>
        <w:t xml:space="preserve"> </w:t>
      </w:r>
      <w:r w:rsidR="002F42A1">
        <w:rPr>
          <w:rFonts w:ascii="Times New Roman" w:hAnsi="Times New Roman"/>
          <w:bCs/>
          <w:sz w:val="24"/>
          <w:szCs w:val="24"/>
        </w:rPr>
        <w:t>odmah moći uspostaviti uspješnu suradnju s donatorima. M</w:t>
      </w:r>
      <w:r w:rsidR="006B796D">
        <w:rPr>
          <w:rFonts w:ascii="Times New Roman" w:hAnsi="Times New Roman"/>
          <w:bCs/>
          <w:sz w:val="24"/>
          <w:szCs w:val="24"/>
        </w:rPr>
        <w:t xml:space="preserve">eđutim, s prolongiranjem radova na obnovi tijekom cijele 2025. godine donacije nisu mogle biti ostvarene u planiranom iznosu. U odnosu na 2024. </w:t>
      </w:r>
      <w:r w:rsidR="00FD7CB4">
        <w:rPr>
          <w:rFonts w:ascii="Times New Roman" w:hAnsi="Times New Roman"/>
          <w:bCs/>
          <w:sz w:val="24"/>
          <w:szCs w:val="24"/>
        </w:rPr>
        <w:t>donacija je bilo za 66% manje, ali djelomično i zbog različito</w:t>
      </w:r>
      <w:r w:rsidR="00411633">
        <w:rPr>
          <w:rFonts w:ascii="Times New Roman" w:hAnsi="Times New Roman"/>
          <w:bCs/>
          <w:sz w:val="24"/>
          <w:szCs w:val="24"/>
        </w:rPr>
        <w:t>g evidentiranja odsnosno odabira ispravnog izvora.</w:t>
      </w:r>
    </w:p>
    <w:p w14:paraId="0BA6D9DA" w14:textId="5891E025" w:rsidR="0033619F" w:rsidRPr="00927A20" w:rsidRDefault="00E01054" w:rsidP="00287192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E01054">
        <w:rPr>
          <w:rFonts w:ascii="Times New Roman" w:hAnsi="Times New Roman"/>
          <w:bCs/>
          <w:sz w:val="24"/>
          <w:szCs w:val="24"/>
        </w:rPr>
        <w:lastRenderedPageBreak/>
        <w:t xml:space="preserve">Izvor financiranja </w:t>
      </w:r>
      <w:r w:rsidRPr="008F0E16">
        <w:rPr>
          <w:rFonts w:ascii="Times New Roman" w:hAnsi="Times New Roman"/>
          <w:b/>
          <w:sz w:val="24"/>
          <w:szCs w:val="24"/>
        </w:rPr>
        <w:t xml:space="preserve">815 </w:t>
      </w:r>
      <w:r w:rsidR="00A9314E" w:rsidRPr="008F0E16">
        <w:rPr>
          <w:rFonts w:ascii="Times New Roman" w:hAnsi="Times New Roman"/>
          <w:b/>
          <w:sz w:val="24"/>
          <w:szCs w:val="24"/>
        </w:rPr>
        <w:t>-</w:t>
      </w:r>
      <w:r w:rsidR="00D36528" w:rsidRPr="008F0E16">
        <w:rPr>
          <w:b/>
        </w:rPr>
        <w:t xml:space="preserve"> </w:t>
      </w:r>
      <w:r w:rsidR="00D36528" w:rsidRPr="008F0E16">
        <w:rPr>
          <w:rFonts w:ascii="Times New Roman" w:hAnsi="Times New Roman"/>
          <w:b/>
          <w:sz w:val="24"/>
          <w:szCs w:val="24"/>
        </w:rPr>
        <w:t>Mehanizam za oporavak i otpornost (NPOO - zajam)</w:t>
      </w:r>
      <w:r w:rsidR="00A9314E">
        <w:rPr>
          <w:rFonts w:ascii="Times New Roman" w:hAnsi="Times New Roman"/>
          <w:bCs/>
          <w:sz w:val="24"/>
          <w:szCs w:val="24"/>
        </w:rPr>
        <w:t xml:space="preserve"> </w:t>
      </w:r>
      <w:r w:rsidRPr="00E01054">
        <w:rPr>
          <w:rFonts w:ascii="Times New Roman" w:hAnsi="Times New Roman"/>
          <w:bCs/>
          <w:sz w:val="24"/>
          <w:szCs w:val="24"/>
        </w:rPr>
        <w:t xml:space="preserve">(dalje izvor </w:t>
      </w:r>
      <w:r w:rsidR="00A9314E">
        <w:rPr>
          <w:rFonts w:ascii="Times New Roman" w:hAnsi="Times New Roman"/>
          <w:bCs/>
          <w:sz w:val="24"/>
          <w:szCs w:val="24"/>
        </w:rPr>
        <w:t>815</w:t>
      </w:r>
      <w:r w:rsidRPr="00E01054">
        <w:rPr>
          <w:rFonts w:ascii="Times New Roman" w:hAnsi="Times New Roman"/>
          <w:bCs/>
          <w:sz w:val="24"/>
          <w:szCs w:val="24"/>
        </w:rPr>
        <w:t xml:space="preserve">) u 2025. nije bio planiran, </w:t>
      </w:r>
      <w:r w:rsidR="00D36528">
        <w:rPr>
          <w:rFonts w:ascii="Times New Roman" w:hAnsi="Times New Roman"/>
          <w:bCs/>
          <w:sz w:val="24"/>
          <w:szCs w:val="24"/>
        </w:rPr>
        <w:t xml:space="preserve">prije svega jer fakultet nije imao informaciju o </w:t>
      </w:r>
      <w:r w:rsidR="0060275E">
        <w:rPr>
          <w:rFonts w:ascii="Times New Roman" w:hAnsi="Times New Roman"/>
          <w:bCs/>
          <w:sz w:val="24"/>
          <w:szCs w:val="24"/>
        </w:rPr>
        <w:t xml:space="preserve">izvoru iz kojeg će se eventualno financirati program obnove. Međutim, dio sredstava </w:t>
      </w:r>
      <w:r w:rsidR="008F0E16">
        <w:rPr>
          <w:rFonts w:ascii="Times New Roman" w:hAnsi="Times New Roman"/>
          <w:bCs/>
          <w:sz w:val="24"/>
          <w:szCs w:val="24"/>
        </w:rPr>
        <w:t>dodijeljen za financiranje obnove je ostvaren upravo iz ovog izvora.</w:t>
      </w:r>
    </w:p>
    <w:p w14:paraId="222E2E79" w14:textId="5BB06055" w:rsidR="00D515B2" w:rsidRPr="00C1336B" w:rsidRDefault="00D515B2" w:rsidP="00E428DE">
      <w:pPr>
        <w:pStyle w:val="Heading1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C1336B">
        <w:rPr>
          <w:rFonts w:ascii="Times New Roman" w:hAnsi="Times New Roman" w:cs="Times New Roman"/>
          <w:szCs w:val="24"/>
        </w:rPr>
        <w:t>RASHODI</w:t>
      </w:r>
    </w:p>
    <w:p w14:paraId="646140D9" w14:textId="19CC8226" w:rsidR="00F7481D" w:rsidRDefault="00CA2F47" w:rsidP="00D33ECB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C1336B">
        <w:rPr>
          <w:rFonts w:ascii="Times New Roman" w:hAnsi="Times New Roman"/>
          <w:b/>
          <w:bCs/>
          <w:sz w:val="24"/>
          <w:szCs w:val="24"/>
        </w:rPr>
        <w:t>Ukupn</w:t>
      </w:r>
      <w:r w:rsidR="001674EB" w:rsidRPr="00C1336B">
        <w:rPr>
          <w:rFonts w:ascii="Times New Roman" w:hAnsi="Times New Roman"/>
          <w:b/>
          <w:bCs/>
          <w:sz w:val="24"/>
          <w:szCs w:val="24"/>
        </w:rPr>
        <w:t>o</w:t>
      </w:r>
      <w:r w:rsidR="0042103B">
        <w:rPr>
          <w:rFonts w:ascii="Times New Roman" w:hAnsi="Times New Roman"/>
          <w:b/>
          <w:bCs/>
          <w:sz w:val="24"/>
          <w:szCs w:val="24"/>
        </w:rPr>
        <w:t xml:space="preserve"> planirani rashodi za </w:t>
      </w:r>
      <w:r w:rsidR="00E73E95">
        <w:rPr>
          <w:rFonts w:ascii="Times New Roman" w:hAnsi="Times New Roman"/>
          <w:b/>
          <w:bCs/>
          <w:sz w:val="24"/>
          <w:szCs w:val="24"/>
        </w:rPr>
        <w:t>2025.</w:t>
      </w:r>
      <w:r w:rsidR="0042103B">
        <w:rPr>
          <w:rFonts w:ascii="Times New Roman" w:hAnsi="Times New Roman"/>
          <w:b/>
          <w:bCs/>
          <w:sz w:val="24"/>
          <w:szCs w:val="24"/>
        </w:rPr>
        <w:t xml:space="preserve"> iznose</w:t>
      </w:r>
      <w:r w:rsidR="001674EB" w:rsidRPr="00C133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3F3C" w:rsidRPr="00F03F3C">
        <w:rPr>
          <w:rFonts w:ascii="Times New Roman" w:hAnsi="Times New Roman"/>
          <w:b/>
          <w:bCs/>
          <w:sz w:val="24"/>
          <w:szCs w:val="24"/>
        </w:rPr>
        <w:t>43.452.530</w:t>
      </w:r>
      <w:r w:rsidR="00F03F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61D61">
        <w:rPr>
          <w:rFonts w:ascii="Times New Roman" w:hAnsi="Times New Roman"/>
          <w:b/>
          <w:bCs/>
          <w:sz w:val="24"/>
          <w:szCs w:val="24"/>
        </w:rPr>
        <w:t>€</w:t>
      </w:r>
      <w:r w:rsidR="00F03F3C">
        <w:rPr>
          <w:rFonts w:ascii="Times New Roman" w:hAnsi="Times New Roman"/>
          <w:b/>
          <w:bCs/>
          <w:sz w:val="24"/>
          <w:szCs w:val="24"/>
        </w:rPr>
        <w:t>.</w:t>
      </w:r>
    </w:p>
    <w:p w14:paraId="4DA8DAC9" w14:textId="032D2736" w:rsidR="00F7481D" w:rsidRDefault="00F7481D" w:rsidP="00F7481D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Rashodi </w:t>
      </w:r>
      <w:r w:rsidRPr="00F7481D">
        <w:rPr>
          <w:rFonts w:ascii="Times New Roman" w:hAnsi="Times New Roman"/>
          <w:bCs/>
          <w:sz w:val="24"/>
          <w:szCs w:val="24"/>
        </w:rPr>
        <w:t xml:space="preserve">su u potpunosti usklađeni s prijedlogom Programskog ugovora za razdoblje 2025-2029. s kojim </w:t>
      </w:r>
      <w:r w:rsidR="00F03F3C">
        <w:rPr>
          <w:rFonts w:ascii="Times New Roman" w:hAnsi="Times New Roman"/>
          <w:bCs/>
          <w:sz w:val="24"/>
          <w:szCs w:val="24"/>
        </w:rPr>
        <w:t>je</w:t>
      </w:r>
      <w:r w:rsidRPr="00F7481D">
        <w:rPr>
          <w:rFonts w:ascii="Times New Roman" w:hAnsi="Times New Roman"/>
          <w:bCs/>
          <w:sz w:val="24"/>
          <w:szCs w:val="24"/>
        </w:rPr>
        <w:t xml:space="preserve"> ugov</w:t>
      </w:r>
      <w:r w:rsidR="00D45839">
        <w:rPr>
          <w:rFonts w:ascii="Times New Roman" w:hAnsi="Times New Roman"/>
          <w:bCs/>
          <w:sz w:val="24"/>
          <w:szCs w:val="24"/>
        </w:rPr>
        <w:t>o</w:t>
      </w:r>
      <w:r w:rsidRPr="00F7481D">
        <w:rPr>
          <w:rFonts w:ascii="Times New Roman" w:hAnsi="Times New Roman"/>
          <w:bCs/>
          <w:sz w:val="24"/>
          <w:szCs w:val="24"/>
        </w:rPr>
        <w:t>r</w:t>
      </w:r>
      <w:r w:rsidR="00F03F3C">
        <w:rPr>
          <w:rFonts w:ascii="Times New Roman" w:hAnsi="Times New Roman"/>
          <w:bCs/>
          <w:sz w:val="24"/>
          <w:szCs w:val="24"/>
        </w:rPr>
        <w:t>eno</w:t>
      </w:r>
      <w:r w:rsidRPr="00F7481D">
        <w:rPr>
          <w:rFonts w:ascii="Times New Roman" w:hAnsi="Times New Roman"/>
          <w:bCs/>
          <w:sz w:val="24"/>
          <w:szCs w:val="24"/>
        </w:rPr>
        <w:t xml:space="preserve"> višegodišnje financiranje osnovne, razvojne i izvedbene proračunske komponente javnog visokog učilišta sredstvima državnog proračuna Republike Hrvatske kao i učešće u financiranju razvojne i izvedbene proračunske komponente ostalim vlastitim i namjenskim primicima, a na temelju Uredbe o programskom financiranju javnih visokih učilišta i javnih znanstvenih instituta u Republici Hrvatskoj.</w:t>
      </w:r>
    </w:p>
    <w:p w14:paraId="1C8BA9CC" w14:textId="45D59141" w:rsidR="002D0AF1" w:rsidRPr="00F7481D" w:rsidRDefault="002D0AF1" w:rsidP="008B72EE">
      <w:pPr>
        <w:jc w:val="both"/>
        <w:rPr>
          <w:rFonts w:ascii="Times New Roman" w:hAnsi="Times New Roman"/>
          <w:bCs/>
          <w:sz w:val="24"/>
          <w:szCs w:val="24"/>
        </w:rPr>
      </w:pPr>
      <w:r w:rsidRPr="001B1D88">
        <w:rPr>
          <w:rFonts w:ascii="Times New Roman" w:hAnsi="Times New Roman"/>
          <w:b/>
          <w:sz w:val="24"/>
          <w:szCs w:val="24"/>
        </w:rPr>
        <w:t xml:space="preserve">Rashodi su ostvareni u iznosu od </w:t>
      </w:r>
      <w:r w:rsidR="00081690" w:rsidRPr="001B1D88">
        <w:rPr>
          <w:rFonts w:ascii="Times New Roman" w:hAnsi="Times New Roman"/>
          <w:b/>
          <w:sz w:val="24"/>
          <w:szCs w:val="24"/>
        </w:rPr>
        <w:t>46.690.03</w:t>
      </w:r>
      <w:r w:rsidR="00A93D99" w:rsidRPr="001B1D88">
        <w:rPr>
          <w:rFonts w:ascii="Times New Roman" w:hAnsi="Times New Roman"/>
          <w:b/>
          <w:sz w:val="24"/>
          <w:szCs w:val="24"/>
        </w:rPr>
        <w:t>1</w:t>
      </w:r>
      <w:r w:rsidR="00081690" w:rsidRPr="001B1D88">
        <w:rPr>
          <w:rFonts w:ascii="Times New Roman" w:hAnsi="Times New Roman"/>
          <w:b/>
          <w:sz w:val="24"/>
          <w:szCs w:val="24"/>
        </w:rPr>
        <w:t xml:space="preserve"> </w:t>
      </w:r>
      <w:r w:rsidRPr="001B1D88">
        <w:rPr>
          <w:rFonts w:ascii="Times New Roman" w:hAnsi="Times New Roman"/>
          <w:b/>
          <w:sz w:val="24"/>
          <w:szCs w:val="24"/>
        </w:rPr>
        <w:t>€,</w:t>
      </w:r>
      <w:r w:rsidRPr="002D0AF1">
        <w:rPr>
          <w:rFonts w:ascii="Times New Roman" w:hAnsi="Times New Roman"/>
          <w:bCs/>
          <w:sz w:val="24"/>
          <w:szCs w:val="24"/>
        </w:rPr>
        <w:t xml:space="preserve"> što je za </w:t>
      </w:r>
      <w:r w:rsidR="00E4616C">
        <w:rPr>
          <w:rFonts w:ascii="Times New Roman" w:hAnsi="Times New Roman"/>
          <w:bCs/>
          <w:sz w:val="24"/>
          <w:szCs w:val="24"/>
        </w:rPr>
        <w:t>3</w:t>
      </w:r>
      <w:r w:rsidRPr="002D0AF1">
        <w:rPr>
          <w:rFonts w:ascii="Times New Roman" w:hAnsi="Times New Roman"/>
          <w:bCs/>
          <w:sz w:val="24"/>
          <w:szCs w:val="24"/>
        </w:rPr>
        <w:t xml:space="preserve">% više od planiranih. U odnosu na 2024. rashodi su za </w:t>
      </w:r>
      <w:r w:rsidR="008B72EE">
        <w:rPr>
          <w:rFonts w:ascii="Times New Roman" w:hAnsi="Times New Roman"/>
          <w:bCs/>
          <w:sz w:val="24"/>
          <w:szCs w:val="24"/>
        </w:rPr>
        <w:t>8</w:t>
      </w:r>
      <w:r w:rsidRPr="002D0AF1">
        <w:rPr>
          <w:rFonts w:ascii="Times New Roman" w:hAnsi="Times New Roman"/>
          <w:bCs/>
          <w:sz w:val="24"/>
          <w:szCs w:val="24"/>
        </w:rPr>
        <w:t xml:space="preserve">% </w:t>
      </w:r>
      <w:r w:rsidR="008B72EE">
        <w:rPr>
          <w:rFonts w:ascii="Times New Roman" w:hAnsi="Times New Roman"/>
          <w:bCs/>
          <w:sz w:val="24"/>
          <w:szCs w:val="24"/>
        </w:rPr>
        <w:t>niži</w:t>
      </w:r>
      <w:r w:rsidRPr="002D0AF1">
        <w:rPr>
          <w:rFonts w:ascii="Times New Roman" w:hAnsi="Times New Roman"/>
          <w:bCs/>
          <w:sz w:val="24"/>
          <w:szCs w:val="24"/>
        </w:rPr>
        <w:t xml:space="preserve">. Razlozi za </w:t>
      </w:r>
      <w:r w:rsidR="008B72EE">
        <w:rPr>
          <w:rFonts w:ascii="Times New Roman" w:hAnsi="Times New Roman"/>
          <w:bCs/>
          <w:sz w:val="24"/>
          <w:szCs w:val="24"/>
        </w:rPr>
        <w:t>rashode</w:t>
      </w:r>
      <w:r w:rsidRPr="002D0AF1">
        <w:rPr>
          <w:rFonts w:ascii="Times New Roman" w:hAnsi="Times New Roman"/>
          <w:bCs/>
          <w:sz w:val="24"/>
          <w:szCs w:val="24"/>
        </w:rPr>
        <w:t xml:space="preserve"> ostvarene </w:t>
      </w:r>
      <w:r w:rsidR="008B72EE">
        <w:rPr>
          <w:rFonts w:ascii="Times New Roman" w:hAnsi="Times New Roman"/>
          <w:bCs/>
          <w:sz w:val="24"/>
          <w:szCs w:val="24"/>
        </w:rPr>
        <w:t xml:space="preserve">više </w:t>
      </w:r>
      <w:r w:rsidRPr="002D0AF1">
        <w:rPr>
          <w:rFonts w:ascii="Times New Roman" w:hAnsi="Times New Roman"/>
          <w:bCs/>
          <w:sz w:val="24"/>
          <w:szCs w:val="24"/>
        </w:rPr>
        <w:t xml:space="preserve">od planiranih kao i za </w:t>
      </w:r>
      <w:r w:rsidR="008B72EE">
        <w:rPr>
          <w:rFonts w:ascii="Times New Roman" w:hAnsi="Times New Roman"/>
          <w:bCs/>
          <w:sz w:val="24"/>
          <w:szCs w:val="24"/>
        </w:rPr>
        <w:t>manje</w:t>
      </w:r>
      <w:r w:rsidRPr="002D0AF1">
        <w:rPr>
          <w:rFonts w:ascii="Times New Roman" w:hAnsi="Times New Roman"/>
          <w:bCs/>
          <w:sz w:val="24"/>
          <w:szCs w:val="24"/>
        </w:rPr>
        <w:t xml:space="preserve"> u odnosu na 2024. godinu razvidni su iz objašnjenja u nastavku ovog. dokumenta.</w:t>
      </w:r>
    </w:p>
    <w:p w14:paraId="3BC7AE99" w14:textId="00C8A613" w:rsidR="00E428DE" w:rsidRPr="00C1336B" w:rsidRDefault="00E428DE" w:rsidP="00E428DE">
      <w:pPr>
        <w:pStyle w:val="Heading2"/>
        <w:numPr>
          <w:ilvl w:val="1"/>
          <w:numId w:val="7"/>
        </w:numPr>
        <w:rPr>
          <w:rFonts w:ascii="Times New Roman" w:hAnsi="Times New Roman" w:cs="Times New Roman"/>
          <w:szCs w:val="24"/>
        </w:rPr>
      </w:pPr>
      <w:r w:rsidRPr="00C1336B">
        <w:rPr>
          <w:rFonts w:ascii="Times New Roman" w:hAnsi="Times New Roman" w:cs="Times New Roman"/>
          <w:szCs w:val="24"/>
        </w:rPr>
        <w:t>Rashodi prema ekonomskoj klasifikaciji</w:t>
      </w:r>
    </w:p>
    <w:p w14:paraId="4A9F6510" w14:textId="36D15A3E" w:rsidR="00C1092E" w:rsidRPr="00C1336B" w:rsidRDefault="00A15363" w:rsidP="00C1092E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Rashodi </w:t>
      </w:r>
      <w:r w:rsidRPr="00A15363">
        <w:rPr>
          <w:rFonts w:ascii="Times New Roman" w:hAnsi="Times New Roman"/>
          <w:bCs/>
          <w:sz w:val="24"/>
          <w:szCs w:val="24"/>
        </w:rPr>
        <w:t xml:space="preserve">su </w:t>
      </w:r>
      <w:r w:rsidR="00811F15">
        <w:rPr>
          <w:rFonts w:ascii="Times New Roman" w:hAnsi="Times New Roman"/>
          <w:bCs/>
          <w:sz w:val="24"/>
          <w:szCs w:val="24"/>
        </w:rPr>
        <w:t>planirani u</w:t>
      </w:r>
      <w:r w:rsidR="00C12EC5">
        <w:rPr>
          <w:rFonts w:ascii="Times New Roman" w:hAnsi="Times New Roman"/>
          <w:bCs/>
          <w:sz w:val="24"/>
          <w:szCs w:val="24"/>
        </w:rPr>
        <w:t xml:space="preserve"> iznosu od </w:t>
      </w:r>
      <w:r w:rsidR="00816C20" w:rsidRPr="00816C20">
        <w:rPr>
          <w:rFonts w:ascii="Times New Roman" w:hAnsi="Times New Roman"/>
          <w:bCs/>
          <w:sz w:val="24"/>
          <w:szCs w:val="24"/>
        </w:rPr>
        <w:t>24.742.378</w:t>
      </w:r>
      <w:r w:rsidR="00816C20">
        <w:rPr>
          <w:rFonts w:ascii="Times New Roman" w:hAnsi="Times New Roman"/>
          <w:bCs/>
          <w:sz w:val="24"/>
          <w:szCs w:val="24"/>
        </w:rPr>
        <w:t xml:space="preserve"> €, </w:t>
      </w:r>
      <w:r w:rsidR="001B1D88">
        <w:rPr>
          <w:rFonts w:ascii="Times New Roman" w:hAnsi="Times New Roman"/>
          <w:bCs/>
          <w:sz w:val="24"/>
          <w:szCs w:val="24"/>
        </w:rPr>
        <w:t xml:space="preserve">što je </w:t>
      </w:r>
      <w:r w:rsidR="00811F15">
        <w:rPr>
          <w:rFonts w:ascii="Times New Roman" w:hAnsi="Times New Roman"/>
          <w:bCs/>
          <w:sz w:val="24"/>
          <w:szCs w:val="24"/>
        </w:rPr>
        <w:t>5</w:t>
      </w:r>
      <w:r w:rsidR="00333EEF">
        <w:rPr>
          <w:rFonts w:ascii="Times New Roman" w:hAnsi="Times New Roman"/>
          <w:bCs/>
          <w:sz w:val="24"/>
          <w:szCs w:val="24"/>
        </w:rPr>
        <w:t>7</w:t>
      </w:r>
      <w:r w:rsidR="00811F15">
        <w:rPr>
          <w:rFonts w:ascii="Times New Roman" w:hAnsi="Times New Roman"/>
          <w:bCs/>
          <w:sz w:val="24"/>
          <w:szCs w:val="24"/>
        </w:rPr>
        <w:t>%</w:t>
      </w:r>
      <w:r w:rsidR="00816C20">
        <w:rPr>
          <w:rFonts w:ascii="Times New Roman" w:hAnsi="Times New Roman"/>
          <w:bCs/>
          <w:sz w:val="24"/>
          <w:szCs w:val="24"/>
        </w:rPr>
        <w:t xml:space="preserve"> ukupnih </w:t>
      </w:r>
      <w:r w:rsidR="00A93D99">
        <w:rPr>
          <w:rFonts w:ascii="Times New Roman" w:hAnsi="Times New Roman"/>
          <w:bCs/>
          <w:sz w:val="24"/>
          <w:szCs w:val="24"/>
        </w:rPr>
        <w:t xml:space="preserve">planiranih </w:t>
      </w:r>
      <w:r w:rsidR="00816C20">
        <w:rPr>
          <w:rFonts w:ascii="Times New Roman" w:hAnsi="Times New Roman"/>
          <w:bCs/>
          <w:sz w:val="24"/>
          <w:szCs w:val="24"/>
        </w:rPr>
        <w:t>rashoda,</w:t>
      </w:r>
      <w:r w:rsidR="00811F15">
        <w:rPr>
          <w:rFonts w:ascii="Times New Roman" w:hAnsi="Times New Roman"/>
          <w:bCs/>
          <w:sz w:val="24"/>
          <w:szCs w:val="24"/>
        </w:rPr>
        <w:t xml:space="preserve"> za rashode poslovanja</w:t>
      </w:r>
      <w:r w:rsidR="00614755">
        <w:rPr>
          <w:rFonts w:ascii="Times New Roman" w:hAnsi="Times New Roman"/>
          <w:bCs/>
          <w:sz w:val="24"/>
          <w:szCs w:val="24"/>
        </w:rPr>
        <w:t xml:space="preserve"> </w:t>
      </w:r>
      <w:r w:rsidR="00816C20">
        <w:rPr>
          <w:rFonts w:ascii="Times New Roman" w:hAnsi="Times New Roman"/>
          <w:bCs/>
          <w:sz w:val="24"/>
          <w:szCs w:val="24"/>
        </w:rPr>
        <w:t xml:space="preserve">te u iznosu od </w:t>
      </w:r>
      <w:r w:rsidR="00FC7793" w:rsidRPr="00FC7793">
        <w:rPr>
          <w:rFonts w:ascii="Times New Roman" w:hAnsi="Times New Roman"/>
          <w:bCs/>
          <w:sz w:val="24"/>
          <w:szCs w:val="24"/>
        </w:rPr>
        <w:t>18.710.152</w:t>
      </w:r>
      <w:r w:rsidR="00FC7793">
        <w:rPr>
          <w:rFonts w:ascii="Times New Roman" w:hAnsi="Times New Roman"/>
          <w:bCs/>
          <w:sz w:val="24"/>
          <w:szCs w:val="24"/>
        </w:rPr>
        <w:t xml:space="preserve"> €, </w:t>
      </w:r>
      <w:r w:rsidR="001B1D88">
        <w:rPr>
          <w:rFonts w:ascii="Times New Roman" w:hAnsi="Times New Roman"/>
          <w:bCs/>
          <w:sz w:val="24"/>
          <w:szCs w:val="24"/>
        </w:rPr>
        <w:t>što je</w:t>
      </w:r>
      <w:r w:rsidR="00FC7793">
        <w:rPr>
          <w:rFonts w:ascii="Times New Roman" w:hAnsi="Times New Roman"/>
          <w:bCs/>
          <w:sz w:val="24"/>
          <w:szCs w:val="24"/>
        </w:rPr>
        <w:t xml:space="preserve"> </w:t>
      </w:r>
      <w:r w:rsidR="00C12EC5">
        <w:rPr>
          <w:rFonts w:ascii="Times New Roman" w:hAnsi="Times New Roman"/>
          <w:bCs/>
          <w:sz w:val="24"/>
          <w:szCs w:val="24"/>
        </w:rPr>
        <w:t>43</w:t>
      </w:r>
      <w:r w:rsidR="00614755">
        <w:rPr>
          <w:rFonts w:ascii="Times New Roman" w:hAnsi="Times New Roman"/>
          <w:bCs/>
          <w:sz w:val="24"/>
          <w:szCs w:val="24"/>
        </w:rPr>
        <w:t>%</w:t>
      </w:r>
      <w:r w:rsidR="00A93D99">
        <w:rPr>
          <w:rFonts w:ascii="Times New Roman" w:hAnsi="Times New Roman"/>
          <w:bCs/>
          <w:sz w:val="24"/>
          <w:szCs w:val="24"/>
        </w:rPr>
        <w:t xml:space="preserve"> ukupnih planiranih rashoda</w:t>
      </w:r>
      <w:r w:rsidR="00FC7793">
        <w:rPr>
          <w:rFonts w:ascii="Times New Roman" w:hAnsi="Times New Roman"/>
          <w:bCs/>
          <w:sz w:val="24"/>
          <w:szCs w:val="24"/>
        </w:rPr>
        <w:t>,</w:t>
      </w:r>
      <w:r w:rsidR="00C12EC5">
        <w:rPr>
          <w:rFonts w:ascii="Times New Roman" w:hAnsi="Times New Roman"/>
          <w:bCs/>
          <w:sz w:val="24"/>
          <w:szCs w:val="24"/>
        </w:rPr>
        <w:t xml:space="preserve"> na rashode za nabavu nefinancijske imovine</w:t>
      </w:r>
      <w:r w:rsidR="00E24ECD">
        <w:rPr>
          <w:rFonts w:ascii="Times New Roman" w:hAnsi="Times New Roman"/>
          <w:bCs/>
          <w:sz w:val="24"/>
          <w:szCs w:val="24"/>
        </w:rPr>
        <w:t>. Rashodi su ostvareni</w:t>
      </w:r>
      <w:r w:rsidR="00C12EC5">
        <w:rPr>
          <w:rFonts w:ascii="Times New Roman" w:hAnsi="Times New Roman"/>
          <w:bCs/>
          <w:sz w:val="24"/>
          <w:szCs w:val="24"/>
        </w:rPr>
        <w:t xml:space="preserve"> u iznosu </w:t>
      </w:r>
      <w:r w:rsidR="00FC7793">
        <w:rPr>
          <w:rFonts w:ascii="Times New Roman" w:hAnsi="Times New Roman"/>
          <w:bCs/>
          <w:sz w:val="24"/>
          <w:szCs w:val="24"/>
        </w:rPr>
        <w:t>od</w:t>
      </w:r>
      <w:r w:rsidR="00FC7793" w:rsidRPr="00FC7793">
        <w:t xml:space="preserve"> </w:t>
      </w:r>
      <w:r w:rsidR="00FC7793" w:rsidRPr="00FC7793">
        <w:rPr>
          <w:rFonts w:ascii="Times New Roman" w:hAnsi="Times New Roman"/>
          <w:bCs/>
          <w:sz w:val="24"/>
          <w:szCs w:val="24"/>
        </w:rPr>
        <w:t>30.718.878</w:t>
      </w:r>
      <w:r w:rsidR="00A93D99">
        <w:rPr>
          <w:rFonts w:ascii="Times New Roman" w:hAnsi="Times New Roman"/>
          <w:bCs/>
          <w:sz w:val="24"/>
          <w:szCs w:val="24"/>
        </w:rPr>
        <w:t xml:space="preserve"> €,</w:t>
      </w:r>
      <w:r w:rsidR="00FC7793">
        <w:rPr>
          <w:rFonts w:ascii="Times New Roman" w:hAnsi="Times New Roman"/>
          <w:bCs/>
          <w:sz w:val="24"/>
          <w:szCs w:val="24"/>
        </w:rPr>
        <w:t xml:space="preserve"> odnosno 73% </w:t>
      </w:r>
      <w:r w:rsidR="00A93D99">
        <w:rPr>
          <w:rFonts w:ascii="Times New Roman" w:hAnsi="Times New Roman"/>
          <w:bCs/>
          <w:sz w:val="24"/>
          <w:szCs w:val="24"/>
        </w:rPr>
        <w:t xml:space="preserve">od </w:t>
      </w:r>
      <w:r w:rsidR="00FC7793">
        <w:rPr>
          <w:rFonts w:ascii="Times New Roman" w:hAnsi="Times New Roman"/>
          <w:bCs/>
          <w:sz w:val="24"/>
          <w:szCs w:val="24"/>
        </w:rPr>
        <w:t>ukupno ostvarenih rashoda</w:t>
      </w:r>
      <w:r w:rsidR="00E24ECD">
        <w:rPr>
          <w:rFonts w:ascii="Times New Roman" w:hAnsi="Times New Roman"/>
          <w:bCs/>
          <w:sz w:val="24"/>
          <w:szCs w:val="24"/>
        </w:rPr>
        <w:t>,</w:t>
      </w:r>
      <w:r w:rsidR="00FC7793">
        <w:rPr>
          <w:rFonts w:ascii="Times New Roman" w:hAnsi="Times New Roman"/>
          <w:bCs/>
          <w:sz w:val="24"/>
          <w:szCs w:val="24"/>
        </w:rPr>
        <w:t xml:space="preserve"> za rashode poslovan</w:t>
      </w:r>
      <w:r w:rsidR="00A93D99">
        <w:rPr>
          <w:rFonts w:ascii="Times New Roman" w:hAnsi="Times New Roman"/>
          <w:bCs/>
          <w:sz w:val="24"/>
          <w:szCs w:val="24"/>
        </w:rPr>
        <w:t>ja te u iznosu od 11.379.337 €, odnosno 27% od ukupn</w:t>
      </w:r>
      <w:r w:rsidR="00E24ECD">
        <w:rPr>
          <w:rFonts w:ascii="Times New Roman" w:hAnsi="Times New Roman"/>
          <w:bCs/>
          <w:sz w:val="24"/>
          <w:szCs w:val="24"/>
        </w:rPr>
        <w:t>o ostvarenih</w:t>
      </w:r>
      <w:r w:rsidR="00A93D99">
        <w:rPr>
          <w:rFonts w:ascii="Times New Roman" w:hAnsi="Times New Roman"/>
          <w:bCs/>
          <w:sz w:val="24"/>
          <w:szCs w:val="24"/>
        </w:rPr>
        <w:t xml:space="preserve"> rashoda, za rashode za nabavu nefinancijske imovine</w:t>
      </w:r>
      <w:r w:rsidR="00337D02">
        <w:rPr>
          <w:rFonts w:ascii="Times New Roman" w:hAnsi="Times New Roman"/>
          <w:bCs/>
          <w:sz w:val="24"/>
          <w:szCs w:val="24"/>
        </w:rPr>
        <w:t xml:space="preserve">. U odnosu na 2024. rashodi poslovanja su veći za </w:t>
      </w:r>
      <w:r w:rsidR="00112215">
        <w:rPr>
          <w:rFonts w:ascii="Times New Roman" w:hAnsi="Times New Roman"/>
          <w:bCs/>
          <w:sz w:val="24"/>
          <w:szCs w:val="24"/>
        </w:rPr>
        <w:t>30%</w:t>
      </w:r>
      <w:r w:rsidR="00F56820">
        <w:rPr>
          <w:rFonts w:ascii="Times New Roman" w:hAnsi="Times New Roman"/>
          <w:bCs/>
          <w:sz w:val="24"/>
          <w:szCs w:val="24"/>
        </w:rPr>
        <w:t xml:space="preserve">, prije svega zbog povećanja troškova zaposlenih i materijalnih troškova poslovanja, </w:t>
      </w:r>
      <w:r w:rsidR="007F3040">
        <w:rPr>
          <w:rFonts w:ascii="Times New Roman" w:hAnsi="Times New Roman"/>
          <w:bCs/>
          <w:sz w:val="24"/>
          <w:szCs w:val="24"/>
        </w:rPr>
        <w:t>dok su rashodi za nabavu nefinancijske imovine značajno manji i to za čak 80</w:t>
      </w:r>
      <w:r w:rsidR="00A914E3">
        <w:rPr>
          <w:rFonts w:ascii="Times New Roman" w:hAnsi="Times New Roman"/>
          <w:bCs/>
          <w:sz w:val="24"/>
          <w:szCs w:val="24"/>
        </w:rPr>
        <w:t xml:space="preserve"> </w:t>
      </w:r>
      <w:r w:rsidR="007F3040">
        <w:rPr>
          <w:rFonts w:ascii="Times New Roman" w:hAnsi="Times New Roman"/>
          <w:bCs/>
          <w:sz w:val="24"/>
          <w:szCs w:val="24"/>
        </w:rPr>
        <w:t>%</w:t>
      </w:r>
      <w:r w:rsidR="00A914E3">
        <w:rPr>
          <w:rFonts w:ascii="Times New Roman" w:hAnsi="Times New Roman"/>
          <w:bCs/>
          <w:sz w:val="24"/>
          <w:szCs w:val="24"/>
        </w:rPr>
        <w:t>, prije svega zbog intenziteta obnove fakulteta.</w:t>
      </w:r>
    </w:p>
    <w:p w14:paraId="0D85371E" w14:textId="32116D1C" w:rsidR="00E428DE" w:rsidRPr="00C1336B" w:rsidRDefault="00E428DE" w:rsidP="00E428DE">
      <w:pPr>
        <w:pStyle w:val="Heading2"/>
        <w:numPr>
          <w:ilvl w:val="1"/>
          <w:numId w:val="7"/>
        </w:numPr>
        <w:rPr>
          <w:rFonts w:ascii="Times New Roman" w:hAnsi="Times New Roman" w:cs="Times New Roman"/>
          <w:szCs w:val="24"/>
        </w:rPr>
      </w:pPr>
      <w:r w:rsidRPr="00C1336B">
        <w:rPr>
          <w:rFonts w:ascii="Times New Roman" w:hAnsi="Times New Roman" w:cs="Times New Roman"/>
          <w:szCs w:val="24"/>
        </w:rPr>
        <w:t xml:space="preserve">Rashodi prema izvorima financiranja </w:t>
      </w:r>
    </w:p>
    <w:p w14:paraId="6D084734" w14:textId="61597279" w:rsidR="005130AD" w:rsidRPr="005130AD" w:rsidRDefault="007D7C80" w:rsidP="005130AD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>Rashodi prema izvorima financiranja glavnini s</w:t>
      </w:r>
      <w:r w:rsidR="00192573">
        <w:rPr>
          <w:rFonts w:ascii="Times New Roman" w:hAnsi="Times New Roman"/>
          <w:bCs/>
          <w:sz w:val="24"/>
          <w:szCs w:val="24"/>
        </w:rPr>
        <w:t>u</w:t>
      </w:r>
      <w:r w:rsidR="002A37B2">
        <w:rPr>
          <w:rFonts w:ascii="Times New Roman" w:hAnsi="Times New Roman"/>
          <w:bCs/>
          <w:sz w:val="24"/>
          <w:szCs w:val="24"/>
        </w:rPr>
        <w:t xml:space="preserve">, </w:t>
      </w:r>
      <w:r w:rsidRPr="00C1336B">
        <w:rPr>
          <w:rFonts w:ascii="Times New Roman" w:hAnsi="Times New Roman"/>
          <w:bCs/>
          <w:sz w:val="24"/>
          <w:szCs w:val="24"/>
        </w:rPr>
        <w:t xml:space="preserve">s udjelom od </w:t>
      </w:r>
      <w:r w:rsidR="00192573">
        <w:rPr>
          <w:rFonts w:ascii="Times New Roman" w:hAnsi="Times New Roman"/>
          <w:bCs/>
          <w:sz w:val="24"/>
          <w:szCs w:val="24"/>
        </w:rPr>
        <w:t>75</w:t>
      </w:r>
      <w:r w:rsidRPr="00C1336B">
        <w:rPr>
          <w:rFonts w:ascii="Times New Roman" w:hAnsi="Times New Roman"/>
          <w:bCs/>
          <w:sz w:val="24"/>
          <w:szCs w:val="24"/>
        </w:rPr>
        <w:t>% u ukupn</w:t>
      </w:r>
      <w:r w:rsidR="009315EC">
        <w:rPr>
          <w:rFonts w:ascii="Times New Roman" w:hAnsi="Times New Roman"/>
          <w:bCs/>
          <w:sz w:val="24"/>
          <w:szCs w:val="24"/>
        </w:rPr>
        <w:t>im</w:t>
      </w:r>
      <w:r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2A37B2">
        <w:rPr>
          <w:rFonts w:ascii="Times New Roman" w:hAnsi="Times New Roman"/>
          <w:bCs/>
          <w:sz w:val="24"/>
          <w:szCs w:val="24"/>
        </w:rPr>
        <w:t xml:space="preserve">planiranim </w:t>
      </w:r>
      <w:r w:rsidRPr="00C1336B">
        <w:rPr>
          <w:rFonts w:ascii="Times New Roman" w:hAnsi="Times New Roman"/>
          <w:bCs/>
          <w:sz w:val="24"/>
          <w:szCs w:val="24"/>
        </w:rPr>
        <w:t>rashodima</w:t>
      </w:r>
      <w:r w:rsidR="002A37B2">
        <w:rPr>
          <w:rFonts w:ascii="Times New Roman" w:hAnsi="Times New Roman"/>
          <w:bCs/>
          <w:sz w:val="24"/>
          <w:szCs w:val="24"/>
        </w:rPr>
        <w:t xml:space="preserve">, planirani na </w:t>
      </w:r>
      <w:r w:rsidRPr="00C1336B">
        <w:rPr>
          <w:rFonts w:ascii="Times New Roman" w:hAnsi="Times New Roman"/>
          <w:bCs/>
          <w:sz w:val="24"/>
          <w:szCs w:val="24"/>
        </w:rPr>
        <w:t>izvor</w:t>
      </w:r>
      <w:r w:rsidR="002A37B2">
        <w:rPr>
          <w:rFonts w:ascii="Times New Roman" w:hAnsi="Times New Roman"/>
          <w:bCs/>
          <w:sz w:val="24"/>
          <w:szCs w:val="24"/>
        </w:rPr>
        <w:t>u</w:t>
      </w:r>
      <w:r w:rsidRPr="00C1336B">
        <w:rPr>
          <w:rFonts w:ascii="Times New Roman" w:hAnsi="Times New Roman"/>
          <w:bCs/>
          <w:sz w:val="24"/>
          <w:szCs w:val="24"/>
        </w:rPr>
        <w:t xml:space="preserve"> financiranja </w:t>
      </w:r>
      <w:r w:rsidRPr="00004329">
        <w:rPr>
          <w:rFonts w:ascii="Times New Roman" w:hAnsi="Times New Roman"/>
          <w:b/>
          <w:sz w:val="24"/>
          <w:szCs w:val="24"/>
        </w:rPr>
        <w:t>1</w:t>
      </w:r>
      <w:r w:rsidR="006F69E1" w:rsidRPr="00004329">
        <w:rPr>
          <w:rFonts w:ascii="Times New Roman" w:hAnsi="Times New Roman"/>
          <w:b/>
          <w:sz w:val="24"/>
          <w:szCs w:val="24"/>
        </w:rPr>
        <w:t>1</w:t>
      </w:r>
      <w:r w:rsidRPr="00004329">
        <w:rPr>
          <w:rFonts w:ascii="Times New Roman" w:hAnsi="Times New Roman"/>
          <w:b/>
          <w:sz w:val="24"/>
          <w:szCs w:val="24"/>
        </w:rPr>
        <w:t>-Opći prihodi i primici</w:t>
      </w:r>
      <w:r w:rsidRPr="00C1336B">
        <w:rPr>
          <w:rFonts w:ascii="Times New Roman" w:hAnsi="Times New Roman"/>
          <w:bCs/>
          <w:sz w:val="24"/>
          <w:szCs w:val="24"/>
        </w:rPr>
        <w:t>.</w:t>
      </w:r>
      <w:r w:rsidR="00911C2D">
        <w:rPr>
          <w:rFonts w:ascii="Times New Roman" w:hAnsi="Times New Roman"/>
          <w:bCs/>
          <w:sz w:val="24"/>
          <w:szCs w:val="24"/>
        </w:rPr>
        <w:t xml:space="preserve"> </w:t>
      </w:r>
      <w:r w:rsidR="005130AD">
        <w:rPr>
          <w:rFonts w:ascii="Times New Roman" w:hAnsi="Times New Roman"/>
          <w:bCs/>
          <w:sz w:val="24"/>
          <w:szCs w:val="24"/>
        </w:rPr>
        <w:t xml:space="preserve">Najvećim dijelom se ovi rashodi odnose na rashode za zaposlene. </w:t>
      </w:r>
      <w:r w:rsidR="00F414E5">
        <w:rPr>
          <w:rFonts w:ascii="Times New Roman" w:hAnsi="Times New Roman"/>
          <w:bCs/>
          <w:sz w:val="24"/>
          <w:szCs w:val="24"/>
        </w:rPr>
        <w:t xml:space="preserve">Ostvarenje rashoda na izvoru financiranja 11 iznose </w:t>
      </w:r>
      <w:r w:rsidR="009D10E1" w:rsidRPr="009D10E1">
        <w:rPr>
          <w:rFonts w:ascii="Times New Roman" w:hAnsi="Times New Roman"/>
          <w:bCs/>
          <w:sz w:val="24"/>
          <w:szCs w:val="24"/>
        </w:rPr>
        <w:t>27.258.885</w:t>
      </w:r>
      <w:r w:rsidR="009D10E1">
        <w:rPr>
          <w:rFonts w:ascii="Times New Roman" w:hAnsi="Times New Roman"/>
          <w:bCs/>
          <w:sz w:val="24"/>
          <w:szCs w:val="24"/>
        </w:rPr>
        <w:t xml:space="preserve"> €, odnosno 65% ukupno ostvarenih rashoda. U odnosu na 2024. godinu radi se o povećanju </w:t>
      </w:r>
      <w:r w:rsidR="00860DD8">
        <w:rPr>
          <w:rFonts w:ascii="Times New Roman" w:hAnsi="Times New Roman"/>
          <w:bCs/>
          <w:sz w:val="24"/>
          <w:szCs w:val="24"/>
        </w:rPr>
        <w:t>za 28%, prije svega zbog povećanja osnovice plaća i naknada za zaposlene te općem poskupljenju materijalnih rashoda poslovanja.</w:t>
      </w:r>
    </w:p>
    <w:p w14:paraId="401ACA57" w14:textId="7B784BC8" w:rsidR="00AA5154" w:rsidRDefault="004B2E37" w:rsidP="00EA1092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Na izvoru </w:t>
      </w:r>
      <w:r w:rsidRPr="00C1336B">
        <w:rPr>
          <w:rFonts w:ascii="Times New Roman" w:hAnsi="Times New Roman"/>
          <w:b/>
          <w:sz w:val="24"/>
          <w:szCs w:val="24"/>
        </w:rPr>
        <w:t>31</w:t>
      </w:r>
      <w:r w:rsidR="00D763F6" w:rsidRPr="00C1336B">
        <w:rPr>
          <w:rFonts w:ascii="Times New Roman" w:hAnsi="Times New Roman"/>
          <w:b/>
          <w:sz w:val="24"/>
          <w:szCs w:val="24"/>
        </w:rPr>
        <w:t>-</w:t>
      </w:r>
      <w:r w:rsidR="00EA1092">
        <w:rPr>
          <w:rFonts w:ascii="Times New Roman" w:hAnsi="Times New Roman"/>
          <w:b/>
          <w:sz w:val="24"/>
          <w:szCs w:val="24"/>
        </w:rPr>
        <w:t>Vlastiti prihodi</w:t>
      </w:r>
      <w:r w:rsidR="00D763F6"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AA5154" w:rsidRPr="00C1336B">
        <w:rPr>
          <w:rFonts w:ascii="Times New Roman" w:hAnsi="Times New Roman"/>
          <w:bCs/>
          <w:sz w:val="24"/>
          <w:szCs w:val="24"/>
        </w:rPr>
        <w:t>rashodi</w:t>
      </w:r>
      <w:r w:rsidR="00860DD8">
        <w:rPr>
          <w:rFonts w:ascii="Times New Roman" w:hAnsi="Times New Roman"/>
          <w:bCs/>
          <w:sz w:val="24"/>
          <w:szCs w:val="24"/>
        </w:rPr>
        <w:t xml:space="preserve"> su planirani u iznosu od </w:t>
      </w:r>
      <w:r w:rsidR="00716444" w:rsidRPr="00716444">
        <w:rPr>
          <w:rFonts w:ascii="Times New Roman" w:hAnsi="Times New Roman"/>
          <w:bCs/>
          <w:sz w:val="24"/>
          <w:szCs w:val="24"/>
        </w:rPr>
        <w:t>4.009.877</w:t>
      </w:r>
      <w:r w:rsidR="005E5F8B">
        <w:rPr>
          <w:rFonts w:ascii="Times New Roman" w:hAnsi="Times New Roman"/>
          <w:bCs/>
          <w:sz w:val="24"/>
          <w:szCs w:val="24"/>
        </w:rPr>
        <w:t xml:space="preserve"> €, odnosno </w:t>
      </w:r>
      <w:r w:rsidR="00716444">
        <w:rPr>
          <w:rFonts w:ascii="Times New Roman" w:hAnsi="Times New Roman"/>
          <w:bCs/>
          <w:sz w:val="24"/>
          <w:szCs w:val="24"/>
        </w:rPr>
        <w:t>9% planiranih ukupnih rashoda</w:t>
      </w:r>
      <w:r w:rsidR="00D763F6" w:rsidRPr="00C1336B">
        <w:rPr>
          <w:rFonts w:ascii="Times New Roman" w:hAnsi="Times New Roman"/>
          <w:bCs/>
          <w:sz w:val="24"/>
          <w:szCs w:val="24"/>
        </w:rPr>
        <w:t xml:space="preserve">. </w:t>
      </w:r>
      <w:r w:rsidR="00EA1092">
        <w:rPr>
          <w:rFonts w:ascii="Times New Roman" w:hAnsi="Times New Roman"/>
          <w:bCs/>
          <w:sz w:val="24"/>
          <w:szCs w:val="24"/>
        </w:rPr>
        <w:t xml:space="preserve">Ostvarenje rashoda financiranih iz vlastitih prihoda iznosi </w:t>
      </w:r>
      <w:r w:rsidR="00F4565B" w:rsidRPr="00F4565B">
        <w:rPr>
          <w:rFonts w:ascii="Times New Roman" w:hAnsi="Times New Roman"/>
          <w:bCs/>
          <w:sz w:val="24"/>
          <w:szCs w:val="24"/>
        </w:rPr>
        <w:t>3.631.00</w:t>
      </w:r>
      <w:r w:rsidR="00F4565B">
        <w:rPr>
          <w:rFonts w:ascii="Times New Roman" w:hAnsi="Times New Roman"/>
          <w:bCs/>
          <w:sz w:val="24"/>
          <w:szCs w:val="24"/>
        </w:rPr>
        <w:t xml:space="preserve">6 €, što je </w:t>
      </w:r>
      <w:r w:rsidR="00A76054">
        <w:rPr>
          <w:rFonts w:ascii="Times New Roman" w:hAnsi="Times New Roman"/>
          <w:bCs/>
          <w:sz w:val="24"/>
          <w:szCs w:val="24"/>
        </w:rPr>
        <w:t xml:space="preserve">8% ukupno ostvarenih rashoda. U odnosu na 2024. ovi rashodi su za </w:t>
      </w:r>
      <w:r w:rsidR="008E3A7E">
        <w:rPr>
          <w:rFonts w:ascii="Times New Roman" w:hAnsi="Times New Roman"/>
          <w:bCs/>
          <w:sz w:val="24"/>
          <w:szCs w:val="24"/>
        </w:rPr>
        <w:t>32% veći, prije svega zbog pretfinanciranja rashoda za obnovu koja se refundiraju iz državnog proračuna te EU projekata.</w:t>
      </w:r>
    </w:p>
    <w:p w14:paraId="4C7E1825" w14:textId="211CA281" w:rsidR="008B7E85" w:rsidRPr="00C1336B" w:rsidRDefault="004B2E37" w:rsidP="00977224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Na izvoru </w:t>
      </w:r>
      <w:r w:rsidRPr="00C1336B">
        <w:rPr>
          <w:rFonts w:ascii="Times New Roman" w:hAnsi="Times New Roman"/>
          <w:b/>
          <w:sz w:val="24"/>
          <w:szCs w:val="24"/>
        </w:rPr>
        <w:t>43</w:t>
      </w:r>
      <w:r w:rsidR="00D763F6" w:rsidRPr="00C1336B">
        <w:rPr>
          <w:rFonts w:ascii="Times New Roman" w:hAnsi="Times New Roman"/>
          <w:b/>
          <w:sz w:val="24"/>
          <w:szCs w:val="24"/>
        </w:rPr>
        <w:t>-Ostali prihodi</w:t>
      </w:r>
      <w:r w:rsidR="00D763F6"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D763F6" w:rsidRPr="003811BD">
        <w:rPr>
          <w:rFonts w:ascii="Times New Roman" w:hAnsi="Times New Roman"/>
          <w:b/>
          <w:sz w:val="24"/>
          <w:szCs w:val="24"/>
        </w:rPr>
        <w:t>za posebne namjene</w:t>
      </w:r>
      <w:r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5D2C45" w:rsidRPr="00C1336B">
        <w:rPr>
          <w:rFonts w:ascii="Times New Roman" w:hAnsi="Times New Roman"/>
          <w:bCs/>
          <w:sz w:val="24"/>
          <w:szCs w:val="24"/>
        </w:rPr>
        <w:t xml:space="preserve">rashodi </w:t>
      </w:r>
      <w:r w:rsidR="003811BD">
        <w:rPr>
          <w:rFonts w:ascii="Times New Roman" w:hAnsi="Times New Roman"/>
          <w:bCs/>
          <w:sz w:val="24"/>
          <w:szCs w:val="24"/>
        </w:rPr>
        <w:t>su</w:t>
      </w:r>
      <w:r w:rsidR="00DE2F5A">
        <w:rPr>
          <w:rFonts w:ascii="Times New Roman" w:hAnsi="Times New Roman"/>
          <w:bCs/>
          <w:sz w:val="24"/>
          <w:szCs w:val="24"/>
        </w:rPr>
        <w:t xml:space="preserve"> </w:t>
      </w:r>
      <w:r w:rsidR="004F63E2" w:rsidRPr="00C1336B">
        <w:rPr>
          <w:rFonts w:ascii="Times New Roman" w:hAnsi="Times New Roman"/>
          <w:bCs/>
          <w:sz w:val="24"/>
          <w:szCs w:val="24"/>
        </w:rPr>
        <w:t xml:space="preserve">planirani </w:t>
      </w:r>
      <w:r w:rsidR="005D2C45" w:rsidRPr="00C1336B">
        <w:rPr>
          <w:rFonts w:ascii="Times New Roman" w:hAnsi="Times New Roman"/>
          <w:bCs/>
          <w:sz w:val="24"/>
          <w:szCs w:val="24"/>
        </w:rPr>
        <w:t>su</w:t>
      </w:r>
      <w:r w:rsidR="00DE2F5A">
        <w:rPr>
          <w:rFonts w:ascii="Times New Roman" w:hAnsi="Times New Roman"/>
          <w:bCs/>
          <w:sz w:val="24"/>
          <w:szCs w:val="24"/>
        </w:rPr>
        <w:t xml:space="preserve"> u iznosu od </w:t>
      </w:r>
      <w:r w:rsidR="00C977E1" w:rsidRPr="00C977E1">
        <w:rPr>
          <w:rFonts w:ascii="Times New Roman" w:hAnsi="Times New Roman"/>
          <w:bCs/>
          <w:sz w:val="24"/>
          <w:szCs w:val="24"/>
        </w:rPr>
        <w:t>770.420</w:t>
      </w:r>
      <w:r w:rsidR="00C977E1">
        <w:rPr>
          <w:rFonts w:ascii="Times New Roman" w:hAnsi="Times New Roman"/>
          <w:bCs/>
          <w:sz w:val="24"/>
          <w:szCs w:val="24"/>
        </w:rPr>
        <w:t xml:space="preserve"> </w:t>
      </w:r>
      <w:r w:rsidR="001F0CED">
        <w:rPr>
          <w:rFonts w:ascii="Times New Roman" w:hAnsi="Times New Roman"/>
          <w:bCs/>
          <w:sz w:val="24"/>
          <w:szCs w:val="24"/>
        </w:rPr>
        <w:t>€</w:t>
      </w:r>
      <w:r w:rsidR="00C977E1">
        <w:rPr>
          <w:rFonts w:ascii="Times New Roman" w:hAnsi="Times New Roman"/>
          <w:bCs/>
          <w:sz w:val="24"/>
          <w:szCs w:val="24"/>
        </w:rPr>
        <w:t>, odnosno</w:t>
      </w:r>
      <w:r w:rsidR="00977224">
        <w:rPr>
          <w:rFonts w:ascii="Times New Roman" w:hAnsi="Times New Roman"/>
          <w:bCs/>
          <w:sz w:val="24"/>
          <w:szCs w:val="24"/>
        </w:rPr>
        <w:t xml:space="preserve"> 2% ukupno planiranih rashoda.</w:t>
      </w:r>
      <w:r w:rsidR="001D3161">
        <w:rPr>
          <w:rFonts w:ascii="Times New Roman" w:hAnsi="Times New Roman"/>
          <w:bCs/>
          <w:sz w:val="24"/>
          <w:szCs w:val="24"/>
        </w:rPr>
        <w:t xml:space="preserve"> </w:t>
      </w:r>
      <w:r w:rsidR="00977224">
        <w:rPr>
          <w:rFonts w:ascii="Times New Roman" w:hAnsi="Times New Roman"/>
          <w:bCs/>
          <w:sz w:val="24"/>
          <w:szCs w:val="24"/>
        </w:rPr>
        <w:t xml:space="preserve">Ovi rashodi su izvršeni u iznosu od </w:t>
      </w:r>
      <w:r w:rsidR="005A5D12" w:rsidRPr="005A5D12">
        <w:rPr>
          <w:rFonts w:ascii="Times New Roman" w:hAnsi="Times New Roman"/>
          <w:bCs/>
          <w:sz w:val="24"/>
          <w:szCs w:val="24"/>
        </w:rPr>
        <w:t>348.2</w:t>
      </w:r>
      <w:r w:rsidR="005A5D12">
        <w:rPr>
          <w:rFonts w:ascii="Times New Roman" w:hAnsi="Times New Roman"/>
          <w:bCs/>
          <w:sz w:val="24"/>
          <w:szCs w:val="24"/>
        </w:rPr>
        <w:t xml:space="preserve">20 </w:t>
      </w:r>
      <w:r w:rsidR="001D3161">
        <w:rPr>
          <w:rFonts w:ascii="Times New Roman" w:hAnsi="Times New Roman"/>
          <w:bCs/>
          <w:sz w:val="24"/>
          <w:szCs w:val="24"/>
        </w:rPr>
        <w:t xml:space="preserve">€, odnosno 1% ukupno ostvarenih rashoda. U odnosu na </w:t>
      </w:r>
      <w:r w:rsidR="00D31451">
        <w:rPr>
          <w:rFonts w:ascii="Times New Roman" w:hAnsi="Times New Roman"/>
          <w:bCs/>
          <w:sz w:val="24"/>
          <w:szCs w:val="24"/>
        </w:rPr>
        <w:t xml:space="preserve">planirano u 2025. te ostvareno u </w:t>
      </w:r>
      <w:r w:rsidR="001D3161">
        <w:rPr>
          <w:rFonts w:ascii="Times New Roman" w:hAnsi="Times New Roman"/>
          <w:bCs/>
          <w:sz w:val="24"/>
          <w:szCs w:val="24"/>
        </w:rPr>
        <w:t xml:space="preserve">2024. </w:t>
      </w:r>
      <w:r w:rsidR="00147B43">
        <w:rPr>
          <w:rFonts w:ascii="Times New Roman" w:hAnsi="Times New Roman"/>
          <w:bCs/>
          <w:sz w:val="24"/>
          <w:szCs w:val="24"/>
        </w:rPr>
        <w:t xml:space="preserve">rashodi iz ovog izvora su za 24% manji. </w:t>
      </w:r>
      <w:r w:rsidR="002A212D">
        <w:rPr>
          <w:rFonts w:ascii="Times New Roman" w:hAnsi="Times New Roman"/>
          <w:bCs/>
          <w:sz w:val="24"/>
          <w:szCs w:val="24"/>
        </w:rPr>
        <w:t xml:space="preserve">Rezulat polovične realizacije ovih rashoda prije svega leži u </w:t>
      </w:r>
      <w:r w:rsidR="00850907">
        <w:rPr>
          <w:rFonts w:ascii="Times New Roman" w:hAnsi="Times New Roman"/>
          <w:bCs/>
          <w:sz w:val="24"/>
          <w:szCs w:val="24"/>
        </w:rPr>
        <w:t>odobrenim odgodama plaćanja</w:t>
      </w:r>
      <w:r w:rsidR="00262260">
        <w:rPr>
          <w:rFonts w:ascii="Times New Roman" w:hAnsi="Times New Roman"/>
          <w:bCs/>
          <w:sz w:val="24"/>
          <w:szCs w:val="24"/>
        </w:rPr>
        <w:t xml:space="preserve"> te razmjerno tome i realizaciji rashoda.</w:t>
      </w:r>
    </w:p>
    <w:p w14:paraId="4A606ED1" w14:textId="19AFE686" w:rsidR="00D763F6" w:rsidRPr="00C1336B" w:rsidRDefault="008B7E85" w:rsidP="004B5454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Rashodi financirani iz izvora </w:t>
      </w:r>
      <w:r w:rsidR="00AD5E77" w:rsidRPr="00F42403">
        <w:rPr>
          <w:rFonts w:ascii="Times New Roman" w:hAnsi="Times New Roman"/>
          <w:b/>
          <w:sz w:val="24"/>
          <w:szCs w:val="24"/>
        </w:rPr>
        <w:t>52</w:t>
      </w:r>
      <w:r w:rsidR="003032F1" w:rsidRPr="00F42403">
        <w:rPr>
          <w:rFonts w:ascii="Times New Roman" w:hAnsi="Times New Roman"/>
          <w:b/>
          <w:sz w:val="24"/>
          <w:szCs w:val="24"/>
        </w:rPr>
        <w:t xml:space="preserve"> – Ostale pomoći</w:t>
      </w:r>
      <w:r w:rsidR="003032F1">
        <w:rPr>
          <w:rFonts w:ascii="Times New Roman" w:hAnsi="Times New Roman"/>
          <w:bCs/>
          <w:sz w:val="24"/>
          <w:szCs w:val="24"/>
        </w:rPr>
        <w:t xml:space="preserve"> planirani su u iznosu od </w:t>
      </w:r>
      <w:r w:rsidR="003032F1" w:rsidRPr="003032F1">
        <w:rPr>
          <w:rFonts w:ascii="Times New Roman" w:hAnsi="Times New Roman"/>
          <w:bCs/>
          <w:sz w:val="24"/>
          <w:szCs w:val="24"/>
        </w:rPr>
        <w:t>2.847.869</w:t>
      </w:r>
      <w:r w:rsidR="00F42403">
        <w:rPr>
          <w:rFonts w:ascii="Times New Roman" w:hAnsi="Times New Roman"/>
          <w:bCs/>
          <w:sz w:val="24"/>
          <w:szCs w:val="24"/>
        </w:rPr>
        <w:t xml:space="preserve"> €</w:t>
      </w:r>
      <w:r w:rsidR="003032F1">
        <w:rPr>
          <w:rFonts w:ascii="Times New Roman" w:hAnsi="Times New Roman"/>
          <w:bCs/>
          <w:sz w:val="24"/>
          <w:szCs w:val="24"/>
        </w:rPr>
        <w:t xml:space="preserve">, odnosno </w:t>
      </w:r>
      <w:r w:rsidR="00694A09">
        <w:rPr>
          <w:rFonts w:ascii="Times New Roman" w:hAnsi="Times New Roman"/>
          <w:bCs/>
          <w:sz w:val="24"/>
          <w:szCs w:val="24"/>
        </w:rPr>
        <w:t xml:space="preserve">66% ukupno planiranih rashoda. Ostvarenje ovih rashoda iznosi </w:t>
      </w:r>
      <w:r w:rsidR="00812B21" w:rsidRPr="00812B21">
        <w:rPr>
          <w:rFonts w:ascii="Times New Roman" w:hAnsi="Times New Roman"/>
          <w:bCs/>
          <w:sz w:val="24"/>
          <w:szCs w:val="24"/>
        </w:rPr>
        <w:t>1.249.94</w:t>
      </w:r>
      <w:r w:rsidR="00812B21">
        <w:rPr>
          <w:rFonts w:ascii="Times New Roman" w:hAnsi="Times New Roman"/>
          <w:bCs/>
          <w:sz w:val="24"/>
          <w:szCs w:val="24"/>
        </w:rPr>
        <w:t>8 €, što je 3% ukupno ostvarenih rashoda</w:t>
      </w:r>
      <w:r w:rsidR="00FA15ED">
        <w:rPr>
          <w:rFonts w:ascii="Times New Roman" w:hAnsi="Times New Roman"/>
          <w:bCs/>
          <w:sz w:val="24"/>
          <w:szCs w:val="24"/>
        </w:rPr>
        <w:t xml:space="preserve">. U ove rashode uključeni su i rashodi iz izvora </w:t>
      </w:r>
      <w:r w:rsidRPr="006B523F">
        <w:rPr>
          <w:rFonts w:ascii="Times New Roman" w:hAnsi="Times New Roman"/>
          <w:bCs/>
          <w:sz w:val="24"/>
          <w:szCs w:val="24"/>
        </w:rPr>
        <w:t>5</w:t>
      </w:r>
      <w:r w:rsidR="00CA7752" w:rsidRPr="006B523F">
        <w:rPr>
          <w:rFonts w:ascii="Times New Roman" w:hAnsi="Times New Roman"/>
          <w:bCs/>
          <w:sz w:val="24"/>
          <w:szCs w:val="24"/>
        </w:rPr>
        <w:t>011</w:t>
      </w:r>
      <w:r w:rsidR="004B5454" w:rsidRPr="006B523F">
        <w:rPr>
          <w:rFonts w:ascii="Times New Roman" w:hAnsi="Times New Roman"/>
          <w:bCs/>
          <w:sz w:val="24"/>
          <w:szCs w:val="24"/>
        </w:rPr>
        <w:t>-</w:t>
      </w:r>
      <w:r w:rsidR="00CA7752" w:rsidRPr="006B523F">
        <w:rPr>
          <w:rFonts w:ascii="Times New Roman" w:hAnsi="Times New Roman"/>
          <w:bCs/>
          <w:sz w:val="24"/>
          <w:szCs w:val="24"/>
        </w:rPr>
        <w:t xml:space="preserve">Pomoći iz državnog proračuna kroz opće prihode i primitke </w:t>
      </w:r>
      <w:r w:rsidR="00FA15ED" w:rsidRPr="006B523F">
        <w:rPr>
          <w:rFonts w:ascii="Times New Roman" w:hAnsi="Times New Roman"/>
          <w:bCs/>
          <w:sz w:val="24"/>
          <w:szCs w:val="24"/>
        </w:rPr>
        <w:t xml:space="preserve">koji </w:t>
      </w:r>
      <w:r w:rsidR="00CA7752" w:rsidRPr="006B523F">
        <w:rPr>
          <w:rFonts w:ascii="Times New Roman" w:hAnsi="Times New Roman"/>
          <w:bCs/>
          <w:sz w:val="24"/>
          <w:szCs w:val="24"/>
        </w:rPr>
        <w:t>je po prvi puta uveden u planskom ciklusu ra razdoblje 2026</w:t>
      </w:r>
      <w:r w:rsidR="00CA7752" w:rsidRPr="00CA7752">
        <w:rPr>
          <w:rFonts w:ascii="Times New Roman" w:hAnsi="Times New Roman"/>
          <w:bCs/>
          <w:sz w:val="24"/>
          <w:szCs w:val="24"/>
        </w:rPr>
        <w:t xml:space="preserve">.-2028. godine </w:t>
      </w:r>
      <w:r w:rsidR="00FA15ED">
        <w:rPr>
          <w:rFonts w:ascii="Times New Roman" w:hAnsi="Times New Roman"/>
          <w:bCs/>
          <w:sz w:val="24"/>
          <w:szCs w:val="24"/>
        </w:rPr>
        <w:t xml:space="preserve">a u primjeni je sukladno </w:t>
      </w:r>
      <w:r w:rsidR="00846BA2">
        <w:rPr>
          <w:rFonts w:ascii="Times New Roman" w:hAnsi="Times New Roman"/>
          <w:bCs/>
          <w:sz w:val="24"/>
          <w:szCs w:val="24"/>
        </w:rPr>
        <w:t xml:space="preserve">novom Pravilniku o proračunskim klasifikacijama s kraja 2025. goodine) </w:t>
      </w:r>
      <w:r w:rsidR="00CA7752" w:rsidRPr="00CA7752">
        <w:rPr>
          <w:rFonts w:ascii="Times New Roman" w:hAnsi="Times New Roman"/>
          <w:bCs/>
          <w:sz w:val="24"/>
          <w:szCs w:val="24"/>
        </w:rPr>
        <w:t xml:space="preserve">i to za </w:t>
      </w:r>
      <w:r w:rsidR="00CA7752">
        <w:rPr>
          <w:rFonts w:ascii="Times New Roman" w:hAnsi="Times New Roman"/>
          <w:bCs/>
          <w:sz w:val="24"/>
          <w:szCs w:val="24"/>
        </w:rPr>
        <w:t xml:space="preserve">rashode iz </w:t>
      </w:r>
      <w:r w:rsidR="00CA7752" w:rsidRPr="00CA7752">
        <w:rPr>
          <w:rFonts w:ascii="Times New Roman" w:hAnsi="Times New Roman"/>
          <w:bCs/>
          <w:sz w:val="24"/>
          <w:szCs w:val="24"/>
        </w:rPr>
        <w:t>projektno</w:t>
      </w:r>
      <w:r w:rsidR="00CA7752">
        <w:rPr>
          <w:rFonts w:ascii="Times New Roman" w:hAnsi="Times New Roman"/>
          <w:bCs/>
          <w:sz w:val="24"/>
          <w:szCs w:val="24"/>
        </w:rPr>
        <w:t>g</w:t>
      </w:r>
      <w:r w:rsidR="00CA7752" w:rsidRPr="00CA7752">
        <w:rPr>
          <w:rFonts w:ascii="Times New Roman" w:hAnsi="Times New Roman"/>
          <w:bCs/>
          <w:sz w:val="24"/>
          <w:szCs w:val="24"/>
        </w:rPr>
        <w:t xml:space="preserve"> financiranj</w:t>
      </w:r>
      <w:r w:rsidR="00CA7752">
        <w:rPr>
          <w:rFonts w:ascii="Times New Roman" w:hAnsi="Times New Roman"/>
          <w:bCs/>
          <w:sz w:val="24"/>
          <w:szCs w:val="24"/>
        </w:rPr>
        <w:t>a</w:t>
      </w:r>
      <w:r w:rsidR="00CA7752" w:rsidRPr="00CA7752">
        <w:rPr>
          <w:rFonts w:ascii="Times New Roman" w:hAnsi="Times New Roman"/>
          <w:bCs/>
          <w:sz w:val="24"/>
          <w:szCs w:val="24"/>
        </w:rPr>
        <w:t xml:space="preserve"> znanstvene djelatnosti koju provodi Ministarstvo znanosti, obrazovanja i mladih te Sveučilište u Zagrebu, program doktoranada i poslijedoktoranada </w:t>
      </w:r>
      <w:r w:rsidR="00CA7752" w:rsidRPr="00CA7752">
        <w:rPr>
          <w:rFonts w:ascii="Times New Roman" w:hAnsi="Times New Roman"/>
          <w:bCs/>
          <w:sz w:val="24"/>
          <w:szCs w:val="24"/>
        </w:rPr>
        <w:lastRenderedPageBreak/>
        <w:t xml:space="preserve">Hrvatske zaklade za znanost te djelomično program razvoja karijera mladih istraživača odnosno  izobrazba novih doktora znanosti. </w:t>
      </w:r>
      <w:r w:rsidR="00D31451">
        <w:rPr>
          <w:rFonts w:ascii="Times New Roman" w:hAnsi="Times New Roman"/>
          <w:bCs/>
          <w:sz w:val="24"/>
          <w:szCs w:val="24"/>
        </w:rPr>
        <w:t xml:space="preserve">U odnosu na 2024. godinu ovi su rashodi za </w:t>
      </w:r>
      <w:r w:rsidR="00B71C3C">
        <w:rPr>
          <w:rFonts w:ascii="Times New Roman" w:hAnsi="Times New Roman"/>
          <w:bCs/>
          <w:sz w:val="24"/>
          <w:szCs w:val="24"/>
        </w:rPr>
        <w:t xml:space="preserve">60% manji, prije svega zbog različite evidencije izvora financiranja </w:t>
      </w:r>
      <w:r w:rsidR="00B36B00">
        <w:rPr>
          <w:rFonts w:ascii="Times New Roman" w:hAnsi="Times New Roman"/>
          <w:bCs/>
          <w:sz w:val="24"/>
          <w:szCs w:val="24"/>
        </w:rPr>
        <w:t>za projekt NRLE te Erasmus projekte.</w:t>
      </w:r>
      <w:r w:rsidR="004B5454" w:rsidRPr="00C1336B">
        <w:rPr>
          <w:rFonts w:ascii="Times New Roman" w:hAnsi="Times New Roman"/>
          <w:bCs/>
          <w:sz w:val="24"/>
          <w:szCs w:val="24"/>
        </w:rPr>
        <w:t xml:space="preserve"> </w:t>
      </w:r>
    </w:p>
    <w:p w14:paraId="72589049" w14:textId="57774561" w:rsidR="0060741E" w:rsidRDefault="00D763F6" w:rsidP="0060741E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72186F">
        <w:rPr>
          <w:rFonts w:ascii="Times New Roman" w:hAnsi="Times New Roman"/>
          <w:bCs/>
          <w:sz w:val="24"/>
          <w:szCs w:val="24"/>
        </w:rPr>
        <w:t>R</w:t>
      </w:r>
      <w:r w:rsidR="004B5454" w:rsidRPr="0072186F">
        <w:rPr>
          <w:rFonts w:ascii="Times New Roman" w:hAnsi="Times New Roman"/>
          <w:bCs/>
          <w:sz w:val="24"/>
          <w:szCs w:val="24"/>
        </w:rPr>
        <w:t xml:space="preserve">ashodi  koji se financiraju iz izvora </w:t>
      </w:r>
      <w:r w:rsidR="004B5454" w:rsidRPr="0072186F">
        <w:rPr>
          <w:rFonts w:ascii="Times New Roman" w:hAnsi="Times New Roman"/>
          <w:b/>
          <w:sz w:val="24"/>
          <w:szCs w:val="24"/>
        </w:rPr>
        <w:t>51</w:t>
      </w:r>
      <w:r w:rsidR="0072186F">
        <w:rPr>
          <w:rFonts w:ascii="Times New Roman" w:hAnsi="Times New Roman"/>
          <w:b/>
          <w:sz w:val="24"/>
          <w:szCs w:val="24"/>
        </w:rPr>
        <w:t>0</w:t>
      </w:r>
      <w:r w:rsidR="004B5454" w:rsidRPr="0072186F">
        <w:rPr>
          <w:rFonts w:ascii="Times New Roman" w:hAnsi="Times New Roman"/>
          <w:b/>
          <w:sz w:val="24"/>
          <w:szCs w:val="24"/>
        </w:rPr>
        <w:t xml:space="preserve"> –</w:t>
      </w:r>
      <w:r w:rsidR="0072186F" w:rsidRPr="0072186F">
        <w:rPr>
          <w:rFonts w:ascii="Times New Roman" w:hAnsi="Times New Roman"/>
          <w:b/>
          <w:sz w:val="24"/>
          <w:szCs w:val="24"/>
        </w:rPr>
        <w:t xml:space="preserve">Programi Unije </w:t>
      </w:r>
      <w:r w:rsidR="00B36B00">
        <w:rPr>
          <w:rFonts w:ascii="Times New Roman" w:hAnsi="Times New Roman"/>
          <w:b/>
          <w:sz w:val="24"/>
          <w:szCs w:val="24"/>
        </w:rPr>
        <w:t xml:space="preserve"> </w:t>
      </w:r>
      <w:r w:rsidR="00B36B00" w:rsidRPr="007A32D1">
        <w:rPr>
          <w:rFonts w:ascii="Times New Roman" w:hAnsi="Times New Roman"/>
          <w:bCs/>
          <w:sz w:val="24"/>
          <w:szCs w:val="24"/>
        </w:rPr>
        <w:t xml:space="preserve">planirani su u iznosu od </w:t>
      </w:r>
      <w:r w:rsidR="006A17E0" w:rsidRPr="007A32D1">
        <w:rPr>
          <w:rFonts w:ascii="Times New Roman" w:hAnsi="Times New Roman"/>
          <w:bCs/>
          <w:sz w:val="24"/>
          <w:szCs w:val="24"/>
        </w:rPr>
        <w:t>1.198.984</w:t>
      </w:r>
      <w:r w:rsidR="007A32D1">
        <w:rPr>
          <w:rFonts w:ascii="Times New Roman" w:hAnsi="Times New Roman"/>
          <w:bCs/>
          <w:sz w:val="24"/>
          <w:szCs w:val="24"/>
        </w:rPr>
        <w:t xml:space="preserve"> €</w:t>
      </w:r>
      <w:r w:rsidR="006A17E0" w:rsidRPr="007A32D1">
        <w:rPr>
          <w:rFonts w:ascii="Times New Roman" w:hAnsi="Times New Roman"/>
          <w:bCs/>
          <w:sz w:val="24"/>
          <w:szCs w:val="24"/>
        </w:rPr>
        <w:t xml:space="preserve"> , odnosno 3% ukupno planiranih rashoda,  a ostvareni su u iznosu od </w:t>
      </w:r>
      <w:r w:rsidR="007A32D1" w:rsidRPr="007A32D1">
        <w:rPr>
          <w:rFonts w:ascii="Times New Roman" w:hAnsi="Times New Roman"/>
          <w:bCs/>
          <w:sz w:val="24"/>
          <w:szCs w:val="24"/>
        </w:rPr>
        <w:t xml:space="preserve">6.091.666 € što je 14% ukupno ostvarenih rashoda. </w:t>
      </w:r>
      <w:r w:rsidR="0072186F">
        <w:rPr>
          <w:rFonts w:ascii="Times New Roman" w:hAnsi="Times New Roman"/>
          <w:bCs/>
          <w:sz w:val="24"/>
          <w:szCs w:val="24"/>
        </w:rPr>
        <w:t>Radi se o rashodima koji nastaju s</w:t>
      </w:r>
      <w:r w:rsidR="0072186F" w:rsidRPr="0072186F">
        <w:rPr>
          <w:rFonts w:ascii="Times New Roman" w:hAnsi="Times New Roman"/>
          <w:bCs/>
          <w:sz w:val="24"/>
          <w:szCs w:val="24"/>
        </w:rPr>
        <w:t xml:space="preserve"> osnove aktivnih ugovora o dodjeli bespovratnih sredstava EU</w:t>
      </w:r>
      <w:r w:rsidR="007A32D1">
        <w:rPr>
          <w:rFonts w:ascii="Times New Roman" w:hAnsi="Times New Roman"/>
          <w:bCs/>
          <w:sz w:val="24"/>
          <w:szCs w:val="24"/>
        </w:rPr>
        <w:t xml:space="preserve"> te ovise o dinamici prijave i odobrenja EU projekata što onemogućava preciznije planiranje. U odnosu na 2024. ovi su rashodi </w:t>
      </w:r>
      <w:r w:rsidR="002955B5">
        <w:rPr>
          <w:rFonts w:ascii="Times New Roman" w:hAnsi="Times New Roman"/>
          <w:bCs/>
          <w:sz w:val="24"/>
          <w:szCs w:val="24"/>
        </w:rPr>
        <w:t>su 10 puta veći, prije svega zbog većeg broja odobrenih</w:t>
      </w:r>
      <w:r w:rsidR="00436247">
        <w:rPr>
          <w:rFonts w:ascii="Times New Roman" w:hAnsi="Times New Roman"/>
          <w:bCs/>
          <w:sz w:val="24"/>
          <w:szCs w:val="24"/>
        </w:rPr>
        <w:t xml:space="preserve"> i uspješno provedenih</w:t>
      </w:r>
      <w:r w:rsidR="002955B5">
        <w:rPr>
          <w:rFonts w:ascii="Times New Roman" w:hAnsi="Times New Roman"/>
          <w:bCs/>
          <w:sz w:val="24"/>
          <w:szCs w:val="24"/>
        </w:rPr>
        <w:t xml:space="preserve"> projekata</w:t>
      </w:r>
      <w:r w:rsidR="00436247">
        <w:rPr>
          <w:rFonts w:ascii="Times New Roman" w:hAnsi="Times New Roman"/>
          <w:bCs/>
          <w:sz w:val="24"/>
          <w:szCs w:val="24"/>
        </w:rPr>
        <w:t xml:space="preserve"> financiranih izravno iz fondova EU.</w:t>
      </w:r>
    </w:p>
    <w:p w14:paraId="496E3CB5" w14:textId="31DC2224" w:rsidR="005626D4" w:rsidRDefault="00F42403" w:rsidP="0060741E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</w:t>
      </w:r>
      <w:r w:rsidR="005626D4" w:rsidRPr="005626D4">
        <w:rPr>
          <w:rFonts w:ascii="Times New Roman" w:hAnsi="Times New Roman"/>
          <w:bCs/>
          <w:sz w:val="24"/>
          <w:szCs w:val="24"/>
        </w:rPr>
        <w:t>izvor</w:t>
      </w:r>
      <w:r>
        <w:rPr>
          <w:rFonts w:ascii="Times New Roman" w:hAnsi="Times New Roman"/>
          <w:bCs/>
          <w:sz w:val="24"/>
          <w:szCs w:val="24"/>
        </w:rPr>
        <w:t>u</w:t>
      </w:r>
      <w:r w:rsidR="005626D4" w:rsidRPr="005626D4">
        <w:rPr>
          <w:rFonts w:ascii="Times New Roman" w:hAnsi="Times New Roman"/>
          <w:bCs/>
          <w:sz w:val="24"/>
          <w:szCs w:val="24"/>
        </w:rPr>
        <w:t xml:space="preserve"> financiranja </w:t>
      </w:r>
      <w:r w:rsidR="005626D4" w:rsidRPr="00FE0954">
        <w:rPr>
          <w:rFonts w:ascii="Times New Roman" w:hAnsi="Times New Roman"/>
          <w:b/>
          <w:sz w:val="24"/>
          <w:szCs w:val="24"/>
        </w:rPr>
        <w:t>563 – Europski fond</w:t>
      </w:r>
      <w:r w:rsidR="005626D4" w:rsidRPr="005626D4">
        <w:rPr>
          <w:rFonts w:ascii="Times New Roman" w:hAnsi="Times New Roman"/>
          <w:bCs/>
          <w:sz w:val="24"/>
          <w:szCs w:val="24"/>
        </w:rPr>
        <w:t xml:space="preserve"> </w:t>
      </w:r>
      <w:r w:rsidR="005626D4" w:rsidRPr="00F42403">
        <w:rPr>
          <w:rFonts w:ascii="Times New Roman" w:hAnsi="Times New Roman"/>
          <w:b/>
          <w:sz w:val="24"/>
          <w:szCs w:val="24"/>
        </w:rPr>
        <w:t>za regionalni razvoj</w:t>
      </w:r>
      <w:r w:rsidR="005626D4" w:rsidRPr="005626D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ni</w:t>
      </w:r>
      <w:r w:rsidR="008D62EE">
        <w:rPr>
          <w:rFonts w:ascii="Times New Roman" w:hAnsi="Times New Roman"/>
          <w:bCs/>
          <w:sz w:val="24"/>
          <w:szCs w:val="24"/>
        </w:rPr>
        <w:t xml:space="preserve">su planirani rashodi, kao prethodno niti prihodi, </w:t>
      </w:r>
      <w:r w:rsidR="008D62EE" w:rsidRPr="008D62EE">
        <w:rPr>
          <w:rFonts w:ascii="Times New Roman" w:hAnsi="Times New Roman"/>
          <w:bCs/>
          <w:sz w:val="24"/>
          <w:szCs w:val="24"/>
        </w:rPr>
        <w:t>budući da su se svi projekti financirani iz sredstava EU kojima je upravljačko tijelo bilo iz inozemstva evidentirali uglavnom na izvoru 51, a zbog shvaćanja da samo prekogranična suradnja kojoj je provedbeno tijelo u RH mora biti evidentirana na izvoru 563.</w:t>
      </w:r>
      <w:r w:rsidR="008D62EE">
        <w:rPr>
          <w:rFonts w:ascii="Times New Roman" w:hAnsi="Times New Roman"/>
          <w:bCs/>
          <w:sz w:val="24"/>
          <w:szCs w:val="24"/>
        </w:rPr>
        <w:t xml:space="preserve"> Ostvareno je </w:t>
      </w:r>
      <w:r w:rsidR="0027602A" w:rsidRPr="0027602A">
        <w:rPr>
          <w:rFonts w:ascii="Times New Roman" w:hAnsi="Times New Roman"/>
          <w:bCs/>
          <w:sz w:val="24"/>
          <w:szCs w:val="24"/>
        </w:rPr>
        <w:t>1.750.996,93</w:t>
      </w:r>
      <w:r w:rsidR="0027602A">
        <w:rPr>
          <w:rFonts w:ascii="Times New Roman" w:hAnsi="Times New Roman"/>
          <w:bCs/>
          <w:sz w:val="24"/>
          <w:szCs w:val="24"/>
        </w:rPr>
        <w:t xml:space="preserve"> €</w:t>
      </w:r>
      <w:r w:rsidR="009F64B4">
        <w:rPr>
          <w:rFonts w:ascii="Times New Roman" w:hAnsi="Times New Roman"/>
          <w:bCs/>
          <w:sz w:val="24"/>
          <w:szCs w:val="24"/>
        </w:rPr>
        <w:t>, odnosno 4% ukupno ostvarenih rashoda, prije svega radi</w:t>
      </w:r>
      <w:r w:rsidR="005626D4">
        <w:rPr>
          <w:rFonts w:ascii="Times New Roman" w:hAnsi="Times New Roman"/>
          <w:bCs/>
          <w:sz w:val="24"/>
          <w:szCs w:val="24"/>
        </w:rPr>
        <w:t xml:space="preserve"> provođenj</w:t>
      </w:r>
      <w:r w:rsidR="009F64B4">
        <w:rPr>
          <w:rFonts w:ascii="Times New Roman" w:hAnsi="Times New Roman"/>
          <w:bCs/>
          <w:sz w:val="24"/>
          <w:szCs w:val="24"/>
        </w:rPr>
        <w:t>a</w:t>
      </w:r>
      <w:r w:rsidR="005626D4">
        <w:rPr>
          <w:rFonts w:ascii="Times New Roman" w:hAnsi="Times New Roman"/>
          <w:bCs/>
          <w:sz w:val="24"/>
          <w:szCs w:val="24"/>
        </w:rPr>
        <w:t xml:space="preserve"> projekata </w:t>
      </w:r>
      <w:r w:rsidR="006A5401">
        <w:rPr>
          <w:rFonts w:ascii="Times New Roman" w:hAnsi="Times New Roman"/>
          <w:bCs/>
          <w:sz w:val="24"/>
          <w:szCs w:val="24"/>
        </w:rPr>
        <w:t xml:space="preserve">prekogranične suradnje </w:t>
      </w:r>
      <w:r w:rsidR="009F64B4">
        <w:rPr>
          <w:rFonts w:ascii="Times New Roman" w:hAnsi="Times New Roman"/>
          <w:bCs/>
          <w:sz w:val="24"/>
          <w:szCs w:val="24"/>
        </w:rPr>
        <w:t>te projekta NRLE</w:t>
      </w:r>
      <w:r w:rsidR="00856ACE">
        <w:rPr>
          <w:rFonts w:ascii="Times New Roman" w:hAnsi="Times New Roman"/>
          <w:bCs/>
          <w:sz w:val="24"/>
          <w:szCs w:val="24"/>
        </w:rPr>
        <w:t xml:space="preserve">.  U odnosu na 2024. rashodi iz ovog izvora s u za </w:t>
      </w:r>
      <w:r w:rsidR="00403642">
        <w:rPr>
          <w:rFonts w:ascii="Times New Roman" w:hAnsi="Times New Roman"/>
          <w:bCs/>
          <w:sz w:val="24"/>
          <w:szCs w:val="24"/>
        </w:rPr>
        <w:t>69 % veći, kako zbog dinamike projekta NRLE tako i zbog dinamike INTERREG projekata kao i projekata financiranih iz Europskog fonda za regionalni razvoj za koje je provedbeno tijelo u RH.</w:t>
      </w:r>
      <w:r w:rsidR="005626D4" w:rsidRPr="005626D4">
        <w:rPr>
          <w:rFonts w:ascii="Times New Roman" w:hAnsi="Times New Roman"/>
          <w:bCs/>
          <w:sz w:val="24"/>
          <w:szCs w:val="24"/>
        </w:rPr>
        <w:t xml:space="preserve"> </w:t>
      </w:r>
    </w:p>
    <w:p w14:paraId="2171C44C" w14:textId="3579DF38" w:rsidR="00004329" w:rsidRDefault="00004329" w:rsidP="0060741E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Rashodi iz</w:t>
      </w:r>
      <w:r w:rsidRPr="00004329">
        <w:rPr>
          <w:rFonts w:ascii="Times New Roman" w:hAnsi="Times New Roman"/>
          <w:bCs/>
          <w:sz w:val="24"/>
          <w:szCs w:val="24"/>
        </w:rPr>
        <w:t xml:space="preserve"> izvora financiranja </w:t>
      </w:r>
      <w:r w:rsidRPr="00004329">
        <w:rPr>
          <w:rFonts w:ascii="Times New Roman" w:hAnsi="Times New Roman"/>
          <w:b/>
          <w:sz w:val="24"/>
          <w:szCs w:val="24"/>
        </w:rPr>
        <w:t>581 – Mehanizam za oporavak otpornost</w:t>
      </w:r>
      <w:r w:rsidRPr="00004329">
        <w:rPr>
          <w:rFonts w:ascii="Times New Roman" w:hAnsi="Times New Roman"/>
          <w:bCs/>
          <w:sz w:val="24"/>
          <w:szCs w:val="24"/>
        </w:rPr>
        <w:t xml:space="preserve"> </w:t>
      </w:r>
      <w:r w:rsidR="00403642">
        <w:rPr>
          <w:rFonts w:ascii="Times New Roman" w:hAnsi="Times New Roman"/>
          <w:bCs/>
          <w:sz w:val="24"/>
          <w:szCs w:val="24"/>
        </w:rPr>
        <w:t>planirani su u iznosu od</w:t>
      </w:r>
      <w:r w:rsidR="0025250D" w:rsidRPr="0025250D">
        <w:t xml:space="preserve"> </w:t>
      </w:r>
      <w:r w:rsidR="0025250D" w:rsidRPr="0025250D">
        <w:rPr>
          <w:rFonts w:ascii="Times New Roman" w:hAnsi="Times New Roman"/>
          <w:bCs/>
          <w:sz w:val="24"/>
          <w:szCs w:val="24"/>
        </w:rPr>
        <w:t>961.304</w:t>
      </w:r>
      <w:r w:rsidR="0025250D">
        <w:rPr>
          <w:rFonts w:ascii="Times New Roman" w:hAnsi="Times New Roman"/>
          <w:bCs/>
          <w:sz w:val="24"/>
          <w:szCs w:val="24"/>
        </w:rPr>
        <w:t xml:space="preserve"> €, odnosno 2% ukupno planiranih rashoda, a ostvareni su u iznosu od </w:t>
      </w:r>
      <w:r w:rsidR="009B59A5" w:rsidRPr="009B59A5">
        <w:rPr>
          <w:rFonts w:ascii="Times New Roman" w:hAnsi="Times New Roman"/>
          <w:bCs/>
          <w:sz w:val="24"/>
          <w:szCs w:val="24"/>
        </w:rPr>
        <w:t>1.625.</w:t>
      </w:r>
      <w:r w:rsidR="009B59A5">
        <w:rPr>
          <w:rFonts w:ascii="Times New Roman" w:hAnsi="Times New Roman"/>
          <w:bCs/>
          <w:sz w:val="24"/>
          <w:szCs w:val="24"/>
        </w:rPr>
        <w:t xml:space="preserve">600 €, odnosno 4% ukupno ostvarenih rashoda. </w:t>
      </w:r>
      <w:r w:rsidR="00436A88">
        <w:rPr>
          <w:rFonts w:ascii="Times New Roman" w:hAnsi="Times New Roman"/>
          <w:bCs/>
          <w:sz w:val="24"/>
          <w:szCs w:val="24"/>
        </w:rPr>
        <w:t>Ovi rashodi su ostvareni z</w:t>
      </w:r>
      <w:r>
        <w:rPr>
          <w:rFonts w:ascii="Times New Roman" w:hAnsi="Times New Roman"/>
          <w:bCs/>
          <w:sz w:val="24"/>
          <w:szCs w:val="24"/>
        </w:rPr>
        <w:t>a pokrivanje troškova</w:t>
      </w:r>
      <w:r w:rsidRPr="00004329">
        <w:rPr>
          <w:rFonts w:ascii="Times New Roman" w:hAnsi="Times New Roman"/>
          <w:bCs/>
          <w:sz w:val="24"/>
          <w:szCs w:val="24"/>
        </w:rPr>
        <w:t xml:space="preserve"> izvedbene komponente programskog ugovora, institucionalni</w:t>
      </w:r>
      <w:r>
        <w:rPr>
          <w:rFonts w:ascii="Times New Roman" w:hAnsi="Times New Roman"/>
          <w:bCs/>
          <w:sz w:val="24"/>
          <w:szCs w:val="24"/>
        </w:rPr>
        <w:t>h</w:t>
      </w:r>
      <w:r w:rsidRPr="00004329">
        <w:rPr>
          <w:rFonts w:ascii="Times New Roman" w:hAnsi="Times New Roman"/>
          <w:bCs/>
          <w:sz w:val="24"/>
          <w:szCs w:val="24"/>
        </w:rPr>
        <w:t xml:space="preserve"> projek</w:t>
      </w:r>
      <w:r>
        <w:rPr>
          <w:rFonts w:ascii="Times New Roman" w:hAnsi="Times New Roman"/>
          <w:bCs/>
          <w:sz w:val="24"/>
          <w:szCs w:val="24"/>
        </w:rPr>
        <w:t>ata</w:t>
      </w:r>
      <w:r w:rsidRPr="00004329">
        <w:rPr>
          <w:rFonts w:ascii="Times New Roman" w:hAnsi="Times New Roman"/>
          <w:bCs/>
          <w:sz w:val="24"/>
          <w:szCs w:val="24"/>
        </w:rPr>
        <w:t xml:space="preserve"> Ministarstva znanosti, obrazovanja i mladih</w:t>
      </w:r>
      <w:r w:rsidR="00436A88">
        <w:rPr>
          <w:rFonts w:ascii="Times New Roman" w:hAnsi="Times New Roman"/>
          <w:bCs/>
          <w:sz w:val="24"/>
          <w:szCs w:val="24"/>
        </w:rPr>
        <w:t>, projekata financiranih iz Nacionalnog programa za oporavak i otpornost koj</w:t>
      </w:r>
      <w:r w:rsidR="000E012C">
        <w:rPr>
          <w:rFonts w:ascii="Times New Roman" w:hAnsi="Times New Roman"/>
          <w:bCs/>
          <w:sz w:val="24"/>
          <w:szCs w:val="24"/>
        </w:rPr>
        <w:t xml:space="preserve">ima fakultet nije upravljačko tijelo, </w:t>
      </w:r>
      <w:r w:rsidRPr="00004329">
        <w:rPr>
          <w:rFonts w:ascii="Times New Roman" w:hAnsi="Times New Roman"/>
          <w:bCs/>
          <w:sz w:val="24"/>
          <w:szCs w:val="24"/>
        </w:rPr>
        <w:t xml:space="preserve">te djelomično </w:t>
      </w:r>
      <w:r w:rsidR="000E012C">
        <w:rPr>
          <w:rFonts w:ascii="Times New Roman" w:hAnsi="Times New Roman"/>
          <w:bCs/>
          <w:sz w:val="24"/>
          <w:szCs w:val="24"/>
        </w:rPr>
        <w:t xml:space="preserve">za </w:t>
      </w:r>
      <w:r w:rsidRPr="00004329">
        <w:rPr>
          <w:rFonts w:ascii="Times New Roman" w:hAnsi="Times New Roman"/>
          <w:bCs/>
          <w:sz w:val="24"/>
          <w:szCs w:val="24"/>
        </w:rPr>
        <w:t>program razvoja karijera mladih istraživača odnosno izobrazb</w:t>
      </w:r>
      <w:r>
        <w:rPr>
          <w:rFonts w:ascii="Times New Roman" w:hAnsi="Times New Roman"/>
          <w:bCs/>
          <w:sz w:val="24"/>
          <w:szCs w:val="24"/>
        </w:rPr>
        <w:t>e</w:t>
      </w:r>
      <w:r w:rsidRPr="00004329">
        <w:rPr>
          <w:rFonts w:ascii="Times New Roman" w:hAnsi="Times New Roman"/>
          <w:bCs/>
          <w:sz w:val="24"/>
          <w:szCs w:val="24"/>
        </w:rPr>
        <w:t xml:space="preserve"> novih doktora znanosti Hrvatske zaklade za znanost</w:t>
      </w:r>
      <w:r>
        <w:rPr>
          <w:rFonts w:ascii="Times New Roman" w:hAnsi="Times New Roman"/>
          <w:bCs/>
          <w:sz w:val="24"/>
          <w:szCs w:val="24"/>
        </w:rPr>
        <w:t>.</w:t>
      </w:r>
      <w:r w:rsidR="000E012C">
        <w:rPr>
          <w:rFonts w:ascii="Times New Roman" w:hAnsi="Times New Roman"/>
          <w:bCs/>
          <w:sz w:val="24"/>
          <w:szCs w:val="24"/>
        </w:rPr>
        <w:t xml:space="preserve"> U odnosu na 2024. ovi su rashodi </w:t>
      </w:r>
      <w:r w:rsidR="00425620">
        <w:rPr>
          <w:rFonts w:ascii="Times New Roman" w:hAnsi="Times New Roman"/>
          <w:bCs/>
          <w:sz w:val="24"/>
          <w:szCs w:val="24"/>
        </w:rPr>
        <w:t xml:space="preserve">su 5 puta veći prije svega zbog projekata </w:t>
      </w:r>
      <w:r w:rsidR="002338B4">
        <w:rPr>
          <w:rFonts w:ascii="Times New Roman" w:hAnsi="Times New Roman"/>
          <w:bCs/>
          <w:sz w:val="24"/>
          <w:szCs w:val="24"/>
        </w:rPr>
        <w:t xml:space="preserve">odobrenih u 2025., a </w:t>
      </w:r>
      <w:r w:rsidR="00425620">
        <w:rPr>
          <w:rFonts w:ascii="Times New Roman" w:hAnsi="Times New Roman"/>
          <w:bCs/>
          <w:sz w:val="24"/>
          <w:szCs w:val="24"/>
        </w:rPr>
        <w:t xml:space="preserve">financiranih </w:t>
      </w:r>
      <w:r w:rsidR="002338B4">
        <w:rPr>
          <w:rFonts w:ascii="Times New Roman" w:hAnsi="Times New Roman"/>
          <w:bCs/>
          <w:sz w:val="24"/>
          <w:szCs w:val="24"/>
        </w:rPr>
        <w:t>iz ovog izvora.</w:t>
      </w:r>
      <w:r w:rsidR="000E012C">
        <w:rPr>
          <w:rFonts w:ascii="Times New Roman" w:hAnsi="Times New Roman"/>
          <w:bCs/>
          <w:sz w:val="24"/>
          <w:szCs w:val="24"/>
        </w:rPr>
        <w:t xml:space="preserve"> </w:t>
      </w:r>
    </w:p>
    <w:p w14:paraId="724EDA38" w14:textId="057B78A3" w:rsidR="0042316C" w:rsidRPr="00C1336B" w:rsidRDefault="0042316C" w:rsidP="004B5454">
      <w:pPr>
        <w:spacing w:before="120" w:after="12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Rashodi iz izvora </w:t>
      </w:r>
      <w:r w:rsidRPr="00C1336B">
        <w:rPr>
          <w:rFonts w:ascii="Times New Roman" w:hAnsi="Times New Roman"/>
          <w:b/>
          <w:sz w:val="24"/>
          <w:szCs w:val="24"/>
        </w:rPr>
        <w:t>61</w:t>
      </w:r>
      <w:r w:rsidR="007B2A15" w:rsidRPr="00C1336B">
        <w:rPr>
          <w:rFonts w:ascii="Times New Roman" w:hAnsi="Times New Roman"/>
          <w:b/>
          <w:sz w:val="24"/>
          <w:szCs w:val="24"/>
        </w:rPr>
        <w:t>-Donacije</w:t>
      </w:r>
      <w:r w:rsidRPr="00C1336B">
        <w:rPr>
          <w:rFonts w:ascii="Times New Roman" w:hAnsi="Times New Roman"/>
          <w:b/>
          <w:sz w:val="24"/>
          <w:szCs w:val="24"/>
        </w:rPr>
        <w:t xml:space="preserve"> </w:t>
      </w:r>
      <w:r w:rsidR="004B5454" w:rsidRPr="00C1336B">
        <w:rPr>
          <w:rFonts w:ascii="Times New Roman" w:hAnsi="Times New Roman"/>
          <w:bCs/>
          <w:sz w:val="24"/>
          <w:szCs w:val="24"/>
        </w:rPr>
        <w:t>planirani su</w:t>
      </w:r>
      <w:r w:rsidR="00763CE9">
        <w:rPr>
          <w:rFonts w:ascii="Times New Roman" w:hAnsi="Times New Roman"/>
          <w:bCs/>
          <w:sz w:val="24"/>
          <w:szCs w:val="24"/>
        </w:rPr>
        <w:t xml:space="preserve"> u iznosu od 932.857 €, odnosno </w:t>
      </w:r>
      <w:r w:rsidR="00004329">
        <w:rPr>
          <w:rFonts w:ascii="Times New Roman" w:hAnsi="Times New Roman"/>
          <w:bCs/>
          <w:sz w:val="24"/>
          <w:szCs w:val="24"/>
        </w:rPr>
        <w:t>1</w:t>
      </w:r>
      <w:r w:rsidR="004B5454" w:rsidRPr="00C1336B">
        <w:rPr>
          <w:rFonts w:ascii="Times New Roman" w:hAnsi="Times New Roman"/>
          <w:bCs/>
          <w:sz w:val="24"/>
          <w:szCs w:val="24"/>
        </w:rPr>
        <w:t xml:space="preserve">% </w:t>
      </w:r>
      <w:r w:rsidR="00763CE9">
        <w:rPr>
          <w:rFonts w:ascii="Times New Roman" w:hAnsi="Times New Roman"/>
          <w:bCs/>
          <w:sz w:val="24"/>
          <w:szCs w:val="24"/>
        </w:rPr>
        <w:t>od ukupnih planiranih</w:t>
      </w:r>
      <w:r w:rsidR="002C325A">
        <w:rPr>
          <w:rFonts w:ascii="Times New Roman" w:hAnsi="Times New Roman"/>
          <w:bCs/>
          <w:sz w:val="24"/>
          <w:szCs w:val="24"/>
        </w:rPr>
        <w:t xml:space="preserve"> rashoda, a ostvareni su u iznosu od 66.263 € što je manje od 1% ukupno ostvarenih rashoda. U odnosu na 2024. ovi su rashodi za </w:t>
      </w:r>
      <w:r w:rsidR="00963195">
        <w:rPr>
          <w:rFonts w:ascii="Times New Roman" w:hAnsi="Times New Roman"/>
          <w:bCs/>
          <w:sz w:val="24"/>
          <w:szCs w:val="24"/>
        </w:rPr>
        <w:t xml:space="preserve">82% manji, prije svega zbog </w:t>
      </w:r>
      <w:r w:rsidR="00433DC2" w:rsidRPr="00433DC2">
        <w:rPr>
          <w:rFonts w:ascii="Times New Roman" w:hAnsi="Times New Roman"/>
          <w:bCs/>
          <w:sz w:val="24"/>
          <w:szCs w:val="24"/>
        </w:rPr>
        <w:t>prolongiranj</w:t>
      </w:r>
      <w:r w:rsidR="00433DC2">
        <w:rPr>
          <w:rFonts w:ascii="Times New Roman" w:hAnsi="Times New Roman"/>
          <w:bCs/>
          <w:sz w:val="24"/>
          <w:szCs w:val="24"/>
        </w:rPr>
        <w:t>a</w:t>
      </w:r>
      <w:r w:rsidR="00433DC2" w:rsidRPr="00433DC2">
        <w:rPr>
          <w:rFonts w:ascii="Times New Roman" w:hAnsi="Times New Roman"/>
          <w:bCs/>
          <w:sz w:val="24"/>
          <w:szCs w:val="24"/>
        </w:rPr>
        <w:t xml:space="preserve"> radova na obnovi tijekom cijele 2025. godine </w:t>
      </w:r>
      <w:r w:rsidR="00A9314E">
        <w:rPr>
          <w:rFonts w:ascii="Times New Roman" w:hAnsi="Times New Roman"/>
          <w:bCs/>
          <w:sz w:val="24"/>
          <w:szCs w:val="24"/>
        </w:rPr>
        <w:t xml:space="preserve">a </w:t>
      </w:r>
      <w:r w:rsidR="00433DC2" w:rsidRPr="00433DC2">
        <w:rPr>
          <w:rFonts w:ascii="Times New Roman" w:hAnsi="Times New Roman"/>
          <w:bCs/>
          <w:sz w:val="24"/>
          <w:szCs w:val="24"/>
        </w:rPr>
        <w:t>djelomično i zbog različitog evidentiranja odnosno odabira ispravnog izvora.</w:t>
      </w:r>
      <w:r w:rsidR="004B5454" w:rsidRPr="00C1336B">
        <w:rPr>
          <w:rFonts w:ascii="Times New Roman" w:hAnsi="Times New Roman"/>
          <w:bCs/>
          <w:sz w:val="24"/>
          <w:szCs w:val="24"/>
        </w:rPr>
        <w:t xml:space="preserve"> </w:t>
      </w:r>
    </w:p>
    <w:p w14:paraId="41927BE3" w14:textId="1FA3558B" w:rsidR="00B55A24" w:rsidRPr="00C1336B" w:rsidRDefault="00B062C4" w:rsidP="00A902EA">
      <w:pPr>
        <w:pStyle w:val="Heading1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C1336B">
        <w:rPr>
          <w:rFonts w:ascii="Times New Roman" w:hAnsi="Times New Roman" w:cs="Times New Roman"/>
          <w:szCs w:val="24"/>
        </w:rPr>
        <w:t xml:space="preserve">REZULTAT POSLOVANJA/IZVRŠENJA </w:t>
      </w:r>
      <w:r w:rsidR="004B5454" w:rsidRPr="00C1336B">
        <w:rPr>
          <w:rFonts w:ascii="Times New Roman" w:hAnsi="Times New Roman" w:cs="Times New Roman"/>
          <w:szCs w:val="24"/>
        </w:rPr>
        <w:t xml:space="preserve">U </w:t>
      </w:r>
      <w:r w:rsidRPr="00C1336B">
        <w:rPr>
          <w:rFonts w:ascii="Times New Roman" w:hAnsi="Times New Roman" w:cs="Times New Roman"/>
          <w:szCs w:val="24"/>
        </w:rPr>
        <w:t>202</w:t>
      </w:r>
      <w:r w:rsidR="004B5454" w:rsidRPr="00C1336B">
        <w:rPr>
          <w:rFonts w:ascii="Times New Roman" w:hAnsi="Times New Roman" w:cs="Times New Roman"/>
          <w:szCs w:val="24"/>
        </w:rPr>
        <w:t>5</w:t>
      </w:r>
      <w:r w:rsidRPr="00C1336B">
        <w:rPr>
          <w:rFonts w:ascii="Times New Roman" w:hAnsi="Times New Roman" w:cs="Times New Roman"/>
          <w:szCs w:val="24"/>
        </w:rPr>
        <w:t>.</w:t>
      </w:r>
    </w:p>
    <w:p w14:paraId="6908BD0E" w14:textId="26932D00" w:rsidR="00CC50C1" w:rsidRPr="00C1336B" w:rsidRDefault="00B062C4" w:rsidP="00D33ECB">
      <w:pPr>
        <w:spacing w:before="120"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1336B">
        <w:rPr>
          <w:rFonts w:ascii="Times New Roman" w:hAnsi="Times New Roman"/>
          <w:bCs/>
          <w:sz w:val="24"/>
          <w:szCs w:val="24"/>
        </w:rPr>
        <w:t>Ukupan rezultat za</w:t>
      </w:r>
      <w:r w:rsidR="00B15ACA">
        <w:rPr>
          <w:rFonts w:ascii="Times New Roman" w:hAnsi="Times New Roman"/>
          <w:bCs/>
          <w:sz w:val="24"/>
          <w:szCs w:val="24"/>
        </w:rPr>
        <w:t xml:space="preserve"> 202</w:t>
      </w:r>
      <w:r w:rsidR="00B75469">
        <w:rPr>
          <w:rFonts w:ascii="Times New Roman" w:hAnsi="Times New Roman"/>
          <w:bCs/>
          <w:sz w:val="24"/>
          <w:szCs w:val="24"/>
        </w:rPr>
        <w:t>5</w:t>
      </w:r>
      <w:r w:rsidR="00B15ACA">
        <w:rPr>
          <w:rFonts w:ascii="Times New Roman" w:hAnsi="Times New Roman"/>
          <w:bCs/>
          <w:sz w:val="24"/>
          <w:szCs w:val="24"/>
        </w:rPr>
        <w:t>. godinu</w:t>
      </w:r>
      <w:r w:rsidR="00CC50C1"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F662C2">
        <w:rPr>
          <w:rFonts w:ascii="Times New Roman" w:hAnsi="Times New Roman"/>
          <w:bCs/>
          <w:sz w:val="24"/>
          <w:szCs w:val="24"/>
        </w:rPr>
        <w:t xml:space="preserve">planiran je u iznosu od </w:t>
      </w:r>
      <w:r w:rsidR="00DD5123" w:rsidRPr="00DD5123">
        <w:rPr>
          <w:rFonts w:ascii="Times New Roman" w:hAnsi="Times New Roman"/>
          <w:bCs/>
          <w:sz w:val="24"/>
          <w:szCs w:val="24"/>
        </w:rPr>
        <w:t>-1.325.002</w:t>
      </w:r>
      <w:r w:rsidR="00DD5123">
        <w:rPr>
          <w:rFonts w:ascii="Times New Roman" w:hAnsi="Times New Roman"/>
          <w:bCs/>
          <w:sz w:val="24"/>
          <w:szCs w:val="24"/>
        </w:rPr>
        <w:t xml:space="preserve"> </w:t>
      </w:r>
      <w:r w:rsidR="00FB11C9">
        <w:rPr>
          <w:rFonts w:ascii="Times New Roman" w:hAnsi="Times New Roman"/>
          <w:bCs/>
          <w:sz w:val="24"/>
          <w:szCs w:val="24"/>
        </w:rPr>
        <w:t>€</w:t>
      </w:r>
      <w:r w:rsidR="00DD5123">
        <w:rPr>
          <w:rFonts w:ascii="Times New Roman" w:hAnsi="Times New Roman"/>
          <w:bCs/>
          <w:sz w:val="24"/>
          <w:szCs w:val="24"/>
        </w:rPr>
        <w:t xml:space="preserve"> budući da je očekivano da </w:t>
      </w:r>
      <w:r w:rsidR="00AD2DFA">
        <w:rPr>
          <w:rFonts w:ascii="Times New Roman" w:hAnsi="Times New Roman"/>
          <w:bCs/>
          <w:sz w:val="24"/>
          <w:szCs w:val="24"/>
        </w:rPr>
        <w:t>fakultet neće imati dovoljno priljeva u 2025. godini za financiranje svih troškova</w:t>
      </w:r>
      <w:r w:rsidR="002E031B">
        <w:rPr>
          <w:rFonts w:ascii="Times New Roman" w:hAnsi="Times New Roman"/>
          <w:bCs/>
          <w:sz w:val="24"/>
          <w:szCs w:val="24"/>
        </w:rPr>
        <w:t>, prije svega troškova obnove koje je bilo potrebno pretfinancirati</w:t>
      </w:r>
      <w:r w:rsidR="002D3D58">
        <w:rPr>
          <w:rFonts w:ascii="Times New Roman" w:hAnsi="Times New Roman"/>
          <w:bCs/>
          <w:sz w:val="24"/>
          <w:szCs w:val="24"/>
        </w:rPr>
        <w:t>, a za što je fakultetu odobren revolving kredit</w:t>
      </w:r>
      <w:r w:rsidR="002E031B">
        <w:rPr>
          <w:rFonts w:ascii="Times New Roman" w:hAnsi="Times New Roman"/>
          <w:bCs/>
          <w:sz w:val="24"/>
          <w:szCs w:val="24"/>
        </w:rPr>
        <w:t xml:space="preserve">. Međutim ostvareni rezultat je </w:t>
      </w:r>
      <w:r w:rsidR="00AF33D2" w:rsidRPr="00AF33D2">
        <w:rPr>
          <w:rFonts w:ascii="Times New Roman" w:hAnsi="Times New Roman"/>
          <w:bCs/>
          <w:sz w:val="24"/>
          <w:szCs w:val="24"/>
        </w:rPr>
        <w:t>4.591.81</w:t>
      </w:r>
      <w:r w:rsidR="00AF33D2">
        <w:rPr>
          <w:rFonts w:ascii="Times New Roman" w:hAnsi="Times New Roman"/>
          <w:bCs/>
          <w:sz w:val="24"/>
          <w:szCs w:val="24"/>
        </w:rPr>
        <w:t>6 €, dijelom zbog naplaćenih troškova obnove iz ranijih godina, a dijelom zbog dobivenih predujmova za EU projekte.</w:t>
      </w:r>
    </w:p>
    <w:p w14:paraId="1B67E68F" w14:textId="25580AED" w:rsidR="00E668EF" w:rsidRDefault="0048323E" w:rsidP="00A902EA">
      <w:pPr>
        <w:pStyle w:val="Heading1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C1336B">
        <w:rPr>
          <w:rFonts w:ascii="Times New Roman" w:hAnsi="Times New Roman" w:cs="Times New Roman"/>
          <w:szCs w:val="24"/>
        </w:rPr>
        <w:t>STANJE NOVČANIH SREDSTAVA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3686"/>
        <w:gridCol w:w="3685"/>
      </w:tblGrid>
      <w:tr w:rsidR="00F14246" w:rsidRPr="00EE2D5A" w14:paraId="00AA23CF" w14:textId="77777777" w:rsidTr="00AF33D2">
        <w:tc>
          <w:tcPr>
            <w:tcW w:w="2263" w:type="dxa"/>
          </w:tcPr>
          <w:p w14:paraId="5EFA8757" w14:textId="77777777" w:rsidR="00F14246" w:rsidRPr="00EE2D5A" w:rsidRDefault="00F14246" w:rsidP="00E74D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4C270E5D" w14:textId="6F626DB3" w:rsidR="00F14246" w:rsidRPr="00EE2D5A" w:rsidRDefault="00F14246" w:rsidP="00E74DBC">
            <w:pPr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>Stanje obveza na dan 31.12.202</w:t>
            </w:r>
            <w:r>
              <w:rPr>
                <w:rFonts w:ascii="Times New Roman" w:hAnsi="Times New Roman"/>
              </w:rPr>
              <w:t>4</w:t>
            </w:r>
            <w:r w:rsidRPr="00EE2D5A">
              <w:rPr>
                <w:rFonts w:ascii="Times New Roman" w:hAnsi="Times New Roman"/>
              </w:rPr>
              <w:t>.</w:t>
            </w:r>
            <w:r w:rsidR="00AF33D2">
              <w:rPr>
                <w:rFonts w:ascii="Times New Roman" w:hAnsi="Times New Roman"/>
              </w:rPr>
              <w:t xml:space="preserve"> u €</w:t>
            </w:r>
          </w:p>
        </w:tc>
        <w:tc>
          <w:tcPr>
            <w:tcW w:w="3685" w:type="dxa"/>
          </w:tcPr>
          <w:p w14:paraId="115EE5FF" w14:textId="0E86F41B" w:rsidR="00F14246" w:rsidRPr="00EE2D5A" w:rsidRDefault="00F14246" w:rsidP="00E74DBC">
            <w:pPr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 xml:space="preserve">Stanje obveza na dan </w:t>
            </w:r>
            <w:r w:rsidR="009C1E26">
              <w:rPr>
                <w:rFonts w:ascii="Times New Roman" w:hAnsi="Times New Roman"/>
              </w:rPr>
              <w:t>31.12.</w:t>
            </w:r>
            <w:r w:rsidRPr="00EE2D5A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="00AF33D2">
              <w:rPr>
                <w:rFonts w:ascii="Times New Roman" w:hAnsi="Times New Roman"/>
              </w:rPr>
              <w:t>. u €</w:t>
            </w:r>
          </w:p>
        </w:tc>
      </w:tr>
      <w:tr w:rsidR="00F14246" w:rsidRPr="00EE2D5A" w14:paraId="48D7EF53" w14:textId="77777777" w:rsidTr="00AF33D2">
        <w:tc>
          <w:tcPr>
            <w:tcW w:w="2263" w:type="dxa"/>
          </w:tcPr>
          <w:p w14:paraId="1A2C6A35" w14:textId="77777777" w:rsidR="00F14246" w:rsidRPr="00EE2D5A" w:rsidRDefault="00F14246" w:rsidP="00E74DBC">
            <w:pPr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>Ukupne obveze</w:t>
            </w:r>
          </w:p>
        </w:tc>
        <w:tc>
          <w:tcPr>
            <w:tcW w:w="3686" w:type="dxa"/>
          </w:tcPr>
          <w:p w14:paraId="34F33AF6" w14:textId="16542BA2" w:rsidR="00F14246" w:rsidRPr="00EE2D5A" w:rsidRDefault="00F14246" w:rsidP="00AF33D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6.874.671</w:t>
            </w:r>
          </w:p>
        </w:tc>
        <w:tc>
          <w:tcPr>
            <w:tcW w:w="3685" w:type="dxa"/>
          </w:tcPr>
          <w:p w14:paraId="7229CE30" w14:textId="0FAC0C2D" w:rsidR="00F14246" w:rsidRPr="00EE2D5A" w:rsidRDefault="009C1E26" w:rsidP="00AF33D2">
            <w:pPr>
              <w:jc w:val="right"/>
              <w:rPr>
                <w:rFonts w:ascii="Times New Roman" w:hAnsi="Times New Roman"/>
              </w:rPr>
            </w:pPr>
            <w:r w:rsidRPr="009C1E26">
              <w:rPr>
                <w:rFonts w:ascii="Times New Roman" w:hAnsi="Times New Roman"/>
              </w:rPr>
              <w:t>3.199.859,78</w:t>
            </w:r>
          </w:p>
        </w:tc>
      </w:tr>
      <w:tr w:rsidR="00F14246" w:rsidRPr="00EE2D5A" w14:paraId="085700A8" w14:textId="77777777" w:rsidTr="00AF33D2">
        <w:tc>
          <w:tcPr>
            <w:tcW w:w="2263" w:type="dxa"/>
          </w:tcPr>
          <w:p w14:paraId="1F052A55" w14:textId="77777777" w:rsidR="00F14246" w:rsidRPr="00EE2D5A" w:rsidRDefault="00F14246" w:rsidP="00E74DBC">
            <w:pPr>
              <w:jc w:val="both"/>
              <w:rPr>
                <w:rFonts w:ascii="Times New Roman" w:hAnsi="Times New Roman"/>
              </w:rPr>
            </w:pPr>
            <w:r w:rsidRPr="001D20E0">
              <w:rPr>
                <w:rFonts w:ascii="Times New Roman" w:hAnsi="Times New Roman"/>
              </w:rPr>
              <w:t>Dospjele obveze</w:t>
            </w:r>
          </w:p>
        </w:tc>
        <w:tc>
          <w:tcPr>
            <w:tcW w:w="3686" w:type="dxa"/>
          </w:tcPr>
          <w:p w14:paraId="2435B6ED" w14:textId="361A92BC" w:rsidR="00F14246" w:rsidRPr="00EE2D5A" w:rsidRDefault="00F14246" w:rsidP="00AF33D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96.998</w:t>
            </w:r>
          </w:p>
        </w:tc>
        <w:tc>
          <w:tcPr>
            <w:tcW w:w="3685" w:type="dxa"/>
          </w:tcPr>
          <w:p w14:paraId="3BB776D8" w14:textId="530BFBA3" w:rsidR="00F14246" w:rsidRPr="00EE2D5A" w:rsidRDefault="00F14246" w:rsidP="00AF33D2">
            <w:pPr>
              <w:jc w:val="right"/>
              <w:rPr>
                <w:rFonts w:ascii="Times New Roman" w:hAnsi="Times New Roman"/>
              </w:rPr>
            </w:pPr>
            <w:bookmarkStart w:id="3" w:name="_GoBack"/>
            <w:r w:rsidRPr="00EE2D5A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</w:t>
            </w:r>
            <w:r w:rsidR="00373F9C" w:rsidRPr="00373F9C">
              <w:rPr>
                <w:rFonts w:ascii="Times New Roman" w:hAnsi="Times New Roman"/>
              </w:rPr>
              <w:t>25.083,35</w:t>
            </w:r>
            <w:bookmarkEnd w:id="3"/>
          </w:p>
        </w:tc>
      </w:tr>
    </w:tbl>
    <w:p w14:paraId="6A82395A" w14:textId="77777777" w:rsidR="00F14246" w:rsidRDefault="00F14246" w:rsidP="00F14246"/>
    <w:p w14:paraId="2B650EEE" w14:textId="77777777" w:rsidR="00F14246" w:rsidRPr="00F14246" w:rsidRDefault="00F14246" w:rsidP="00F14246"/>
    <w:p w14:paraId="76DB120F" w14:textId="1D773BCA" w:rsidR="003F74FC" w:rsidRPr="00C1336B" w:rsidRDefault="00626273" w:rsidP="00D33EC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Zagreb, </w:t>
      </w:r>
      <w:r w:rsidR="002D3D58">
        <w:rPr>
          <w:rFonts w:ascii="Times New Roman" w:hAnsi="Times New Roman"/>
          <w:bCs/>
          <w:sz w:val="24"/>
          <w:szCs w:val="24"/>
        </w:rPr>
        <w:t>25.03.2026</w:t>
      </w:r>
      <w:r w:rsidR="008E2160" w:rsidRPr="00C1336B">
        <w:rPr>
          <w:rFonts w:ascii="Times New Roman" w:hAnsi="Times New Roman"/>
          <w:bCs/>
          <w:sz w:val="24"/>
          <w:szCs w:val="24"/>
        </w:rPr>
        <w:t>.</w:t>
      </w:r>
      <w:r w:rsidR="00B062C4" w:rsidRPr="00C1336B">
        <w:rPr>
          <w:rFonts w:ascii="Times New Roman" w:hAnsi="Times New Roman"/>
          <w:bCs/>
          <w:sz w:val="24"/>
          <w:szCs w:val="24"/>
        </w:rPr>
        <w:tab/>
      </w:r>
    </w:p>
    <w:p w14:paraId="2D50CDAA" w14:textId="70F3CD0C" w:rsidR="003F74FC" w:rsidRPr="00C1336B" w:rsidRDefault="003F74FC" w:rsidP="00D33ECB">
      <w:pPr>
        <w:spacing w:before="120" w:after="120"/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A534E8">
        <w:rPr>
          <w:rFonts w:ascii="Times New Roman" w:hAnsi="Times New Roman"/>
          <w:sz w:val="24"/>
          <w:szCs w:val="24"/>
        </w:rPr>
        <w:t xml:space="preserve">  </w:t>
      </w:r>
      <w:r w:rsidRPr="00C1336B">
        <w:rPr>
          <w:rFonts w:ascii="Times New Roman" w:hAnsi="Times New Roman"/>
          <w:sz w:val="24"/>
          <w:szCs w:val="24"/>
        </w:rPr>
        <w:t xml:space="preserve">     </w:t>
      </w:r>
      <w:r w:rsidR="00D33ECB" w:rsidRPr="00C1336B">
        <w:rPr>
          <w:rFonts w:ascii="Times New Roman" w:hAnsi="Times New Roman"/>
          <w:sz w:val="24"/>
          <w:szCs w:val="24"/>
        </w:rPr>
        <w:tab/>
      </w:r>
      <w:r w:rsidRPr="00C1336B">
        <w:rPr>
          <w:rFonts w:ascii="Times New Roman" w:hAnsi="Times New Roman"/>
          <w:sz w:val="24"/>
          <w:szCs w:val="24"/>
        </w:rPr>
        <w:t>Dekan:</w:t>
      </w:r>
    </w:p>
    <w:p w14:paraId="55E709DE" w14:textId="4C8E8518" w:rsidR="003F74FC" w:rsidRPr="00C1336B" w:rsidRDefault="003F74FC" w:rsidP="00F16103">
      <w:pPr>
        <w:spacing w:before="240" w:after="120"/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D33ECB" w:rsidRPr="00C1336B">
        <w:rPr>
          <w:rFonts w:ascii="Times New Roman" w:hAnsi="Times New Roman"/>
          <w:sz w:val="24"/>
          <w:szCs w:val="24"/>
        </w:rPr>
        <w:tab/>
      </w:r>
      <w:r w:rsidR="00A534E8">
        <w:rPr>
          <w:rFonts w:ascii="Times New Roman" w:hAnsi="Times New Roman"/>
          <w:sz w:val="24"/>
          <w:szCs w:val="24"/>
        </w:rPr>
        <w:t>__</w:t>
      </w:r>
      <w:r w:rsidRPr="00C1336B">
        <w:rPr>
          <w:rFonts w:ascii="Times New Roman" w:hAnsi="Times New Roman"/>
          <w:sz w:val="24"/>
          <w:szCs w:val="24"/>
        </w:rPr>
        <w:t xml:space="preserve">_____________________                                       </w:t>
      </w:r>
    </w:p>
    <w:p w14:paraId="00237678" w14:textId="1D777D3D" w:rsidR="00B9753B" w:rsidRPr="00C1336B" w:rsidRDefault="003F74FC" w:rsidP="00D33ECB">
      <w:pPr>
        <w:spacing w:before="120" w:after="120"/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D33ECB" w:rsidRPr="00C1336B">
        <w:rPr>
          <w:rFonts w:ascii="Times New Roman" w:hAnsi="Times New Roman"/>
          <w:sz w:val="24"/>
          <w:szCs w:val="24"/>
        </w:rPr>
        <w:tab/>
      </w:r>
      <w:r w:rsidRPr="00C1336B">
        <w:rPr>
          <w:rFonts w:ascii="Times New Roman" w:hAnsi="Times New Roman"/>
          <w:sz w:val="24"/>
          <w:szCs w:val="24"/>
        </w:rPr>
        <w:t xml:space="preserve">Prof.dr.sc. </w:t>
      </w:r>
      <w:r w:rsidR="004D52B7" w:rsidRPr="00C1336B">
        <w:rPr>
          <w:rFonts w:ascii="Times New Roman" w:hAnsi="Times New Roman"/>
          <w:sz w:val="24"/>
          <w:szCs w:val="24"/>
        </w:rPr>
        <w:t>Zdenko Tonković</w:t>
      </w:r>
    </w:p>
    <w:sectPr w:rsidR="00B9753B" w:rsidRPr="00C1336B" w:rsidSect="00E93F46">
      <w:footerReference w:type="default" r:id="rId8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A4FDF" w14:textId="77777777" w:rsidR="00015021" w:rsidRDefault="00015021" w:rsidP="00364558">
      <w:r>
        <w:separator/>
      </w:r>
    </w:p>
  </w:endnote>
  <w:endnote w:type="continuationSeparator" w:id="0">
    <w:p w14:paraId="0A50ED53" w14:textId="77777777" w:rsidR="00015021" w:rsidRDefault="00015021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2080220"/>
      <w:docPartObj>
        <w:docPartGallery w:val="Page Numbers (Bottom of Page)"/>
        <w:docPartUnique/>
      </w:docPartObj>
    </w:sdtPr>
    <w:sdtEndPr/>
    <w:sdtContent>
      <w:p w14:paraId="147B6F11" w14:textId="77777777"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93E">
          <w:rPr>
            <w:noProof/>
          </w:rPr>
          <w:t>2</w:t>
        </w:r>
        <w:r>
          <w:fldChar w:fldCharType="end"/>
        </w:r>
      </w:p>
    </w:sdtContent>
  </w:sdt>
  <w:p w14:paraId="5E608AB5" w14:textId="77777777"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D79EE" w14:textId="77777777" w:rsidR="00015021" w:rsidRDefault="00015021" w:rsidP="00364558">
      <w:r>
        <w:separator/>
      </w:r>
    </w:p>
  </w:footnote>
  <w:footnote w:type="continuationSeparator" w:id="0">
    <w:p w14:paraId="6469B211" w14:textId="77777777" w:rsidR="00015021" w:rsidRDefault="00015021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3F6D"/>
    <w:multiLevelType w:val="hybridMultilevel"/>
    <w:tmpl w:val="07824D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A139B"/>
    <w:multiLevelType w:val="multilevel"/>
    <w:tmpl w:val="953E1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42D7D96"/>
    <w:multiLevelType w:val="hybridMultilevel"/>
    <w:tmpl w:val="5CD4C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C45AB"/>
    <w:multiLevelType w:val="hybridMultilevel"/>
    <w:tmpl w:val="D20A7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F71F2"/>
    <w:multiLevelType w:val="hybridMultilevel"/>
    <w:tmpl w:val="BA62D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61557"/>
    <w:multiLevelType w:val="hybridMultilevel"/>
    <w:tmpl w:val="C66A5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9214C"/>
    <w:multiLevelType w:val="hybridMultilevel"/>
    <w:tmpl w:val="187EF0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31AD8"/>
    <w:multiLevelType w:val="hybridMultilevel"/>
    <w:tmpl w:val="4DFC1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E38A1"/>
    <w:multiLevelType w:val="hybridMultilevel"/>
    <w:tmpl w:val="54CC7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4432"/>
    <w:multiLevelType w:val="hybridMultilevel"/>
    <w:tmpl w:val="F0D0D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101FE"/>
    <w:multiLevelType w:val="hybridMultilevel"/>
    <w:tmpl w:val="84CAD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54425"/>
    <w:multiLevelType w:val="multilevel"/>
    <w:tmpl w:val="FE1624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543707AA"/>
    <w:multiLevelType w:val="hybridMultilevel"/>
    <w:tmpl w:val="5C6AA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C55E9"/>
    <w:multiLevelType w:val="hybridMultilevel"/>
    <w:tmpl w:val="B62642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04BD5"/>
    <w:multiLevelType w:val="hybridMultilevel"/>
    <w:tmpl w:val="C85061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D3F15"/>
    <w:multiLevelType w:val="hybridMultilevel"/>
    <w:tmpl w:val="AC0A9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E47A8"/>
    <w:multiLevelType w:val="hybridMultilevel"/>
    <w:tmpl w:val="7B76CD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E713A"/>
    <w:multiLevelType w:val="hybridMultilevel"/>
    <w:tmpl w:val="25D25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910C2"/>
    <w:multiLevelType w:val="hybridMultilevel"/>
    <w:tmpl w:val="0B76E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13"/>
  </w:num>
  <w:num w:numId="5">
    <w:abstractNumId w:val="4"/>
  </w:num>
  <w:num w:numId="6">
    <w:abstractNumId w:val="1"/>
  </w:num>
  <w:num w:numId="7">
    <w:abstractNumId w:val="11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9"/>
  </w:num>
  <w:num w:numId="13">
    <w:abstractNumId w:val="14"/>
  </w:num>
  <w:num w:numId="14">
    <w:abstractNumId w:val="0"/>
  </w:num>
  <w:num w:numId="15">
    <w:abstractNumId w:val="15"/>
  </w:num>
  <w:num w:numId="16">
    <w:abstractNumId w:val="18"/>
  </w:num>
  <w:num w:numId="17">
    <w:abstractNumId w:val="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24"/>
    <w:rsid w:val="000020AE"/>
    <w:rsid w:val="00002936"/>
    <w:rsid w:val="00004329"/>
    <w:rsid w:val="00005442"/>
    <w:rsid w:val="00015021"/>
    <w:rsid w:val="00016498"/>
    <w:rsid w:val="0001739A"/>
    <w:rsid w:val="00020271"/>
    <w:rsid w:val="000202C8"/>
    <w:rsid w:val="00021210"/>
    <w:rsid w:val="00021CB4"/>
    <w:rsid w:val="00022ED5"/>
    <w:rsid w:val="000361E3"/>
    <w:rsid w:val="00037AF0"/>
    <w:rsid w:val="000417E8"/>
    <w:rsid w:val="000458A1"/>
    <w:rsid w:val="000551D9"/>
    <w:rsid w:val="000714A6"/>
    <w:rsid w:val="000753F0"/>
    <w:rsid w:val="00075CB2"/>
    <w:rsid w:val="000813F3"/>
    <w:rsid w:val="00081690"/>
    <w:rsid w:val="000817D3"/>
    <w:rsid w:val="000840B1"/>
    <w:rsid w:val="00090E5F"/>
    <w:rsid w:val="00090E67"/>
    <w:rsid w:val="00092DF2"/>
    <w:rsid w:val="000944E5"/>
    <w:rsid w:val="000A1DD3"/>
    <w:rsid w:val="000C0826"/>
    <w:rsid w:val="000C4307"/>
    <w:rsid w:val="000C6C01"/>
    <w:rsid w:val="000C757E"/>
    <w:rsid w:val="000D4C73"/>
    <w:rsid w:val="000D6B4F"/>
    <w:rsid w:val="000E012C"/>
    <w:rsid w:val="000F05F7"/>
    <w:rsid w:val="000F0A3A"/>
    <w:rsid w:val="000F4F9A"/>
    <w:rsid w:val="000F58E8"/>
    <w:rsid w:val="000F74C5"/>
    <w:rsid w:val="00103BA6"/>
    <w:rsid w:val="00112215"/>
    <w:rsid w:val="001210A1"/>
    <w:rsid w:val="00121F2A"/>
    <w:rsid w:val="00123E28"/>
    <w:rsid w:val="00123E57"/>
    <w:rsid w:val="001253CF"/>
    <w:rsid w:val="00126F52"/>
    <w:rsid w:val="0012756E"/>
    <w:rsid w:val="00131234"/>
    <w:rsid w:val="0013218F"/>
    <w:rsid w:val="0013508F"/>
    <w:rsid w:val="0013519E"/>
    <w:rsid w:val="00144C0D"/>
    <w:rsid w:val="00147B43"/>
    <w:rsid w:val="001555B0"/>
    <w:rsid w:val="00155DE5"/>
    <w:rsid w:val="00157EB7"/>
    <w:rsid w:val="00160F2E"/>
    <w:rsid w:val="00161CDA"/>
    <w:rsid w:val="00164A42"/>
    <w:rsid w:val="0016565B"/>
    <w:rsid w:val="001674EB"/>
    <w:rsid w:val="00175E43"/>
    <w:rsid w:val="00177A09"/>
    <w:rsid w:val="00192573"/>
    <w:rsid w:val="00196014"/>
    <w:rsid w:val="001A18C3"/>
    <w:rsid w:val="001B031A"/>
    <w:rsid w:val="001B1D88"/>
    <w:rsid w:val="001B2F24"/>
    <w:rsid w:val="001B5C4A"/>
    <w:rsid w:val="001C303F"/>
    <w:rsid w:val="001D3161"/>
    <w:rsid w:val="001E2654"/>
    <w:rsid w:val="001E46E6"/>
    <w:rsid w:val="001F0CED"/>
    <w:rsid w:val="00206AC0"/>
    <w:rsid w:val="00210DFB"/>
    <w:rsid w:val="00212E62"/>
    <w:rsid w:val="0021523C"/>
    <w:rsid w:val="00216160"/>
    <w:rsid w:val="002161B2"/>
    <w:rsid w:val="0021683B"/>
    <w:rsid w:val="00231A3F"/>
    <w:rsid w:val="002338B4"/>
    <w:rsid w:val="002344D6"/>
    <w:rsid w:val="00235374"/>
    <w:rsid w:val="002444F5"/>
    <w:rsid w:val="0025250D"/>
    <w:rsid w:val="002532B3"/>
    <w:rsid w:val="00257374"/>
    <w:rsid w:val="00262260"/>
    <w:rsid w:val="0027602A"/>
    <w:rsid w:val="00287192"/>
    <w:rsid w:val="002923F6"/>
    <w:rsid w:val="00293801"/>
    <w:rsid w:val="002955B5"/>
    <w:rsid w:val="00297383"/>
    <w:rsid w:val="002A212D"/>
    <w:rsid w:val="002A37B2"/>
    <w:rsid w:val="002A4840"/>
    <w:rsid w:val="002B1D6E"/>
    <w:rsid w:val="002C325A"/>
    <w:rsid w:val="002C4E9A"/>
    <w:rsid w:val="002C768B"/>
    <w:rsid w:val="002D0714"/>
    <w:rsid w:val="002D0AF1"/>
    <w:rsid w:val="002D3D58"/>
    <w:rsid w:val="002D5EAE"/>
    <w:rsid w:val="002D76AE"/>
    <w:rsid w:val="002E031B"/>
    <w:rsid w:val="002E2A39"/>
    <w:rsid w:val="002E3D42"/>
    <w:rsid w:val="002E6654"/>
    <w:rsid w:val="002F42A1"/>
    <w:rsid w:val="002F7327"/>
    <w:rsid w:val="003032F1"/>
    <w:rsid w:val="003114D6"/>
    <w:rsid w:val="00312D19"/>
    <w:rsid w:val="003130E3"/>
    <w:rsid w:val="00316197"/>
    <w:rsid w:val="00316766"/>
    <w:rsid w:val="00325A9F"/>
    <w:rsid w:val="00333EEF"/>
    <w:rsid w:val="003355A1"/>
    <w:rsid w:val="0033604F"/>
    <w:rsid w:val="0033619F"/>
    <w:rsid w:val="003365D2"/>
    <w:rsid w:val="00337B5E"/>
    <w:rsid w:val="00337D02"/>
    <w:rsid w:val="00344198"/>
    <w:rsid w:val="003568CE"/>
    <w:rsid w:val="003633B0"/>
    <w:rsid w:val="00363DC8"/>
    <w:rsid w:val="00363F71"/>
    <w:rsid w:val="00364558"/>
    <w:rsid w:val="00373F9C"/>
    <w:rsid w:val="00374731"/>
    <w:rsid w:val="00377150"/>
    <w:rsid w:val="003811BD"/>
    <w:rsid w:val="00383DEF"/>
    <w:rsid w:val="003846AC"/>
    <w:rsid w:val="003878EC"/>
    <w:rsid w:val="0039332F"/>
    <w:rsid w:val="003935C0"/>
    <w:rsid w:val="003A3E82"/>
    <w:rsid w:val="003A63E8"/>
    <w:rsid w:val="003B23C2"/>
    <w:rsid w:val="003C0D01"/>
    <w:rsid w:val="003C1956"/>
    <w:rsid w:val="003C2E6C"/>
    <w:rsid w:val="003C37BE"/>
    <w:rsid w:val="003C63EF"/>
    <w:rsid w:val="003C6840"/>
    <w:rsid w:val="003D155B"/>
    <w:rsid w:val="003D3498"/>
    <w:rsid w:val="003E2982"/>
    <w:rsid w:val="003E3C03"/>
    <w:rsid w:val="003F043D"/>
    <w:rsid w:val="003F37E6"/>
    <w:rsid w:val="003F3E4D"/>
    <w:rsid w:val="003F74FC"/>
    <w:rsid w:val="003F7875"/>
    <w:rsid w:val="00403642"/>
    <w:rsid w:val="00405CCD"/>
    <w:rsid w:val="00406366"/>
    <w:rsid w:val="00411633"/>
    <w:rsid w:val="0041344D"/>
    <w:rsid w:val="00413CAB"/>
    <w:rsid w:val="0042022C"/>
    <w:rsid w:val="0042103B"/>
    <w:rsid w:val="0042316C"/>
    <w:rsid w:val="00425620"/>
    <w:rsid w:val="00432E75"/>
    <w:rsid w:val="00433288"/>
    <w:rsid w:val="00433DC2"/>
    <w:rsid w:val="00436247"/>
    <w:rsid w:val="00436A88"/>
    <w:rsid w:val="004443AD"/>
    <w:rsid w:val="0044765D"/>
    <w:rsid w:val="0046092B"/>
    <w:rsid w:val="004661E1"/>
    <w:rsid w:val="0046793E"/>
    <w:rsid w:val="00474E94"/>
    <w:rsid w:val="00475031"/>
    <w:rsid w:val="0048323E"/>
    <w:rsid w:val="00490298"/>
    <w:rsid w:val="00490E53"/>
    <w:rsid w:val="004941F2"/>
    <w:rsid w:val="00495517"/>
    <w:rsid w:val="00496216"/>
    <w:rsid w:val="004B2E37"/>
    <w:rsid w:val="004B5454"/>
    <w:rsid w:val="004C2A78"/>
    <w:rsid w:val="004C4D50"/>
    <w:rsid w:val="004D25A3"/>
    <w:rsid w:val="004D52B7"/>
    <w:rsid w:val="004E2C33"/>
    <w:rsid w:val="004E7A25"/>
    <w:rsid w:val="004E7EC8"/>
    <w:rsid w:val="004F0BF1"/>
    <w:rsid w:val="004F0F37"/>
    <w:rsid w:val="004F63E2"/>
    <w:rsid w:val="005130AD"/>
    <w:rsid w:val="005147DE"/>
    <w:rsid w:val="005160C5"/>
    <w:rsid w:val="00516607"/>
    <w:rsid w:val="005201F0"/>
    <w:rsid w:val="00521425"/>
    <w:rsid w:val="005247BE"/>
    <w:rsid w:val="00526349"/>
    <w:rsid w:val="0053049D"/>
    <w:rsid w:val="00531B3A"/>
    <w:rsid w:val="00533284"/>
    <w:rsid w:val="00540B0E"/>
    <w:rsid w:val="00544291"/>
    <w:rsid w:val="00552348"/>
    <w:rsid w:val="00553C79"/>
    <w:rsid w:val="005579C2"/>
    <w:rsid w:val="005626D4"/>
    <w:rsid w:val="005639C9"/>
    <w:rsid w:val="00563B70"/>
    <w:rsid w:val="00567221"/>
    <w:rsid w:val="00567E56"/>
    <w:rsid w:val="00570716"/>
    <w:rsid w:val="005818D2"/>
    <w:rsid w:val="005840EA"/>
    <w:rsid w:val="00586AB7"/>
    <w:rsid w:val="005929CE"/>
    <w:rsid w:val="00597E40"/>
    <w:rsid w:val="005A00D4"/>
    <w:rsid w:val="005A5D12"/>
    <w:rsid w:val="005B06C4"/>
    <w:rsid w:val="005B283E"/>
    <w:rsid w:val="005B6FB1"/>
    <w:rsid w:val="005C1B5E"/>
    <w:rsid w:val="005C4FD8"/>
    <w:rsid w:val="005C5561"/>
    <w:rsid w:val="005D2C45"/>
    <w:rsid w:val="005D3E5C"/>
    <w:rsid w:val="005E5F8B"/>
    <w:rsid w:val="005F0C9F"/>
    <w:rsid w:val="005F33D5"/>
    <w:rsid w:val="005F45C2"/>
    <w:rsid w:val="005F5551"/>
    <w:rsid w:val="005F653F"/>
    <w:rsid w:val="0060137B"/>
    <w:rsid w:val="0060275E"/>
    <w:rsid w:val="0060285F"/>
    <w:rsid w:val="00607040"/>
    <w:rsid w:val="0060741E"/>
    <w:rsid w:val="00612AF0"/>
    <w:rsid w:val="00613336"/>
    <w:rsid w:val="00614755"/>
    <w:rsid w:val="006151C2"/>
    <w:rsid w:val="006156EC"/>
    <w:rsid w:val="006242D1"/>
    <w:rsid w:val="00626273"/>
    <w:rsid w:val="00631891"/>
    <w:rsid w:val="006326F3"/>
    <w:rsid w:val="0064234E"/>
    <w:rsid w:val="00652E63"/>
    <w:rsid w:val="0065402B"/>
    <w:rsid w:val="0065578C"/>
    <w:rsid w:val="006614EA"/>
    <w:rsid w:val="00677A8A"/>
    <w:rsid w:val="00694A09"/>
    <w:rsid w:val="00694FC3"/>
    <w:rsid w:val="006A17E0"/>
    <w:rsid w:val="006A5401"/>
    <w:rsid w:val="006A5D2C"/>
    <w:rsid w:val="006A6D0D"/>
    <w:rsid w:val="006B0FBB"/>
    <w:rsid w:val="006B2293"/>
    <w:rsid w:val="006B3788"/>
    <w:rsid w:val="006B523F"/>
    <w:rsid w:val="006B796D"/>
    <w:rsid w:val="006C41D9"/>
    <w:rsid w:val="006C5D3E"/>
    <w:rsid w:val="006D1A7E"/>
    <w:rsid w:val="006E1DE7"/>
    <w:rsid w:val="006E67B7"/>
    <w:rsid w:val="006F57B8"/>
    <w:rsid w:val="006F69E1"/>
    <w:rsid w:val="006F7F84"/>
    <w:rsid w:val="00706DD2"/>
    <w:rsid w:val="007101E8"/>
    <w:rsid w:val="00716444"/>
    <w:rsid w:val="00720DA6"/>
    <w:rsid w:val="0072186F"/>
    <w:rsid w:val="00722B54"/>
    <w:rsid w:val="00723942"/>
    <w:rsid w:val="00727F47"/>
    <w:rsid w:val="007311AA"/>
    <w:rsid w:val="00733EF1"/>
    <w:rsid w:val="00747905"/>
    <w:rsid w:val="007536F5"/>
    <w:rsid w:val="00754EC8"/>
    <w:rsid w:val="00755265"/>
    <w:rsid w:val="00763CE9"/>
    <w:rsid w:val="0078208D"/>
    <w:rsid w:val="0079296A"/>
    <w:rsid w:val="00793CD8"/>
    <w:rsid w:val="007952CF"/>
    <w:rsid w:val="00796B33"/>
    <w:rsid w:val="007A32D1"/>
    <w:rsid w:val="007A41A7"/>
    <w:rsid w:val="007B2A15"/>
    <w:rsid w:val="007C0CB9"/>
    <w:rsid w:val="007C4067"/>
    <w:rsid w:val="007C60D4"/>
    <w:rsid w:val="007D7C80"/>
    <w:rsid w:val="007E7554"/>
    <w:rsid w:val="007F15B6"/>
    <w:rsid w:val="007F164E"/>
    <w:rsid w:val="007F3040"/>
    <w:rsid w:val="00800774"/>
    <w:rsid w:val="0080758E"/>
    <w:rsid w:val="00811F09"/>
    <w:rsid w:val="00811F15"/>
    <w:rsid w:val="00812B21"/>
    <w:rsid w:val="00813136"/>
    <w:rsid w:val="0081522D"/>
    <w:rsid w:val="00815795"/>
    <w:rsid w:val="00816C20"/>
    <w:rsid w:val="0082101B"/>
    <w:rsid w:val="008237F9"/>
    <w:rsid w:val="00824B59"/>
    <w:rsid w:val="00827514"/>
    <w:rsid w:val="00832EFD"/>
    <w:rsid w:val="00835CED"/>
    <w:rsid w:val="008360C0"/>
    <w:rsid w:val="008407CB"/>
    <w:rsid w:val="008419D4"/>
    <w:rsid w:val="00845A27"/>
    <w:rsid w:val="00846BA2"/>
    <w:rsid w:val="00847E1F"/>
    <w:rsid w:val="00850907"/>
    <w:rsid w:val="008526DA"/>
    <w:rsid w:val="008559C2"/>
    <w:rsid w:val="00855A55"/>
    <w:rsid w:val="00856ACE"/>
    <w:rsid w:val="00860DD8"/>
    <w:rsid w:val="008836CE"/>
    <w:rsid w:val="00886A78"/>
    <w:rsid w:val="00894AF3"/>
    <w:rsid w:val="00897CD3"/>
    <w:rsid w:val="008A113E"/>
    <w:rsid w:val="008A1E8E"/>
    <w:rsid w:val="008A2C63"/>
    <w:rsid w:val="008A3D44"/>
    <w:rsid w:val="008B2397"/>
    <w:rsid w:val="008B367A"/>
    <w:rsid w:val="008B72EE"/>
    <w:rsid w:val="008B7E85"/>
    <w:rsid w:val="008C1B90"/>
    <w:rsid w:val="008C21E5"/>
    <w:rsid w:val="008D3ED5"/>
    <w:rsid w:val="008D62EE"/>
    <w:rsid w:val="008D667E"/>
    <w:rsid w:val="008D72B3"/>
    <w:rsid w:val="008E0BD9"/>
    <w:rsid w:val="008E2160"/>
    <w:rsid w:val="008E3A7E"/>
    <w:rsid w:val="008E4A1D"/>
    <w:rsid w:val="008F0E16"/>
    <w:rsid w:val="008F1775"/>
    <w:rsid w:val="008F20E0"/>
    <w:rsid w:val="009004F6"/>
    <w:rsid w:val="00902CDF"/>
    <w:rsid w:val="0091123F"/>
    <w:rsid w:val="00911C2D"/>
    <w:rsid w:val="009213C2"/>
    <w:rsid w:val="00924C04"/>
    <w:rsid w:val="009271D8"/>
    <w:rsid w:val="00927A20"/>
    <w:rsid w:val="009315EC"/>
    <w:rsid w:val="009349F3"/>
    <w:rsid w:val="009368D4"/>
    <w:rsid w:val="0094050E"/>
    <w:rsid w:val="00943D83"/>
    <w:rsid w:val="00951C41"/>
    <w:rsid w:val="009523CB"/>
    <w:rsid w:val="00963195"/>
    <w:rsid w:val="00977224"/>
    <w:rsid w:val="00977FCC"/>
    <w:rsid w:val="00997DED"/>
    <w:rsid w:val="009A22DA"/>
    <w:rsid w:val="009A4751"/>
    <w:rsid w:val="009B59A5"/>
    <w:rsid w:val="009C09ED"/>
    <w:rsid w:val="009C1E26"/>
    <w:rsid w:val="009C7CF4"/>
    <w:rsid w:val="009D10E1"/>
    <w:rsid w:val="009D4ABE"/>
    <w:rsid w:val="009D50BC"/>
    <w:rsid w:val="009D52D7"/>
    <w:rsid w:val="009D52E7"/>
    <w:rsid w:val="009D6DEC"/>
    <w:rsid w:val="009E0A81"/>
    <w:rsid w:val="009E3F7F"/>
    <w:rsid w:val="009F1EC9"/>
    <w:rsid w:val="009F1F3F"/>
    <w:rsid w:val="009F5D04"/>
    <w:rsid w:val="009F64B4"/>
    <w:rsid w:val="009F686C"/>
    <w:rsid w:val="009F7986"/>
    <w:rsid w:val="00A00C02"/>
    <w:rsid w:val="00A15363"/>
    <w:rsid w:val="00A15F40"/>
    <w:rsid w:val="00A174DB"/>
    <w:rsid w:val="00A41A50"/>
    <w:rsid w:val="00A41E25"/>
    <w:rsid w:val="00A42741"/>
    <w:rsid w:val="00A534E8"/>
    <w:rsid w:val="00A566E3"/>
    <w:rsid w:val="00A61F66"/>
    <w:rsid w:val="00A6394A"/>
    <w:rsid w:val="00A64460"/>
    <w:rsid w:val="00A67736"/>
    <w:rsid w:val="00A75AB4"/>
    <w:rsid w:val="00A76054"/>
    <w:rsid w:val="00A80021"/>
    <w:rsid w:val="00A81F0E"/>
    <w:rsid w:val="00A82725"/>
    <w:rsid w:val="00A869FD"/>
    <w:rsid w:val="00A902EA"/>
    <w:rsid w:val="00A914E3"/>
    <w:rsid w:val="00A926BD"/>
    <w:rsid w:val="00A9314E"/>
    <w:rsid w:val="00A93D99"/>
    <w:rsid w:val="00AA1BC5"/>
    <w:rsid w:val="00AA5154"/>
    <w:rsid w:val="00AA5264"/>
    <w:rsid w:val="00AA5D48"/>
    <w:rsid w:val="00AA6C36"/>
    <w:rsid w:val="00AB07A0"/>
    <w:rsid w:val="00AB0F42"/>
    <w:rsid w:val="00AB2B2C"/>
    <w:rsid w:val="00AB5936"/>
    <w:rsid w:val="00AB7655"/>
    <w:rsid w:val="00AC28F6"/>
    <w:rsid w:val="00AD2DFA"/>
    <w:rsid w:val="00AD32A3"/>
    <w:rsid w:val="00AD5E77"/>
    <w:rsid w:val="00AD6892"/>
    <w:rsid w:val="00AE0C7E"/>
    <w:rsid w:val="00AF1E64"/>
    <w:rsid w:val="00AF33D2"/>
    <w:rsid w:val="00AF6E26"/>
    <w:rsid w:val="00B01830"/>
    <w:rsid w:val="00B0327E"/>
    <w:rsid w:val="00B0336D"/>
    <w:rsid w:val="00B062C4"/>
    <w:rsid w:val="00B15ACA"/>
    <w:rsid w:val="00B21A79"/>
    <w:rsid w:val="00B261DC"/>
    <w:rsid w:val="00B36B00"/>
    <w:rsid w:val="00B37F30"/>
    <w:rsid w:val="00B40F92"/>
    <w:rsid w:val="00B45631"/>
    <w:rsid w:val="00B46A5B"/>
    <w:rsid w:val="00B474C8"/>
    <w:rsid w:val="00B52F03"/>
    <w:rsid w:val="00B55A24"/>
    <w:rsid w:val="00B57D85"/>
    <w:rsid w:val="00B61D61"/>
    <w:rsid w:val="00B648AD"/>
    <w:rsid w:val="00B65F8E"/>
    <w:rsid w:val="00B71C3C"/>
    <w:rsid w:val="00B72FB0"/>
    <w:rsid w:val="00B73A26"/>
    <w:rsid w:val="00B75469"/>
    <w:rsid w:val="00B75A4F"/>
    <w:rsid w:val="00B8411A"/>
    <w:rsid w:val="00B877D3"/>
    <w:rsid w:val="00B91D3B"/>
    <w:rsid w:val="00B9753B"/>
    <w:rsid w:val="00BA1D7B"/>
    <w:rsid w:val="00BA2F90"/>
    <w:rsid w:val="00BA4D39"/>
    <w:rsid w:val="00BB320E"/>
    <w:rsid w:val="00BB7D63"/>
    <w:rsid w:val="00BC1F54"/>
    <w:rsid w:val="00BC26A6"/>
    <w:rsid w:val="00BC3682"/>
    <w:rsid w:val="00BD2EA0"/>
    <w:rsid w:val="00BE4E9B"/>
    <w:rsid w:val="00BE62FE"/>
    <w:rsid w:val="00BF421E"/>
    <w:rsid w:val="00BF4AEB"/>
    <w:rsid w:val="00C1092E"/>
    <w:rsid w:val="00C12EC5"/>
    <w:rsid w:val="00C1336B"/>
    <w:rsid w:val="00C23861"/>
    <w:rsid w:val="00C323CF"/>
    <w:rsid w:val="00C33BF2"/>
    <w:rsid w:val="00C37090"/>
    <w:rsid w:val="00C3768D"/>
    <w:rsid w:val="00C47E0E"/>
    <w:rsid w:val="00C526BF"/>
    <w:rsid w:val="00C559DC"/>
    <w:rsid w:val="00C55CF9"/>
    <w:rsid w:val="00C56DD1"/>
    <w:rsid w:val="00C64917"/>
    <w:rsid w:val="00C77BCB"/>
    <w:rsid w:val="00C8002C"/>
    <w:rsid w:val="00C8460A"/>
    <w:rsid w:val="00C859EB"/>
    <w:rsid w:val="00C93B00"/>
    <w:rsid w:val="00C95596"/>
    <w:rsid w:val="00C977E1"/>
    <w:rsid w:val="00CA2F47"/>
    <w:rsid w:val="00CA737D"/>
    <w:rsid w:val="00CA7752"/>
    <w:rsid w:val="00CB0E86"/>
    <w:rsid w:val="00CB3584"/>
    <w:rsid w:val="00CC0F07"/>
    <w:rsid w:val="00CC4D0C"/>
    <w:rsid w:val="00CC50C1"/>
    <w:rsid w:val="00CD0B59"/>
    <w:rsid w:val="00CD138E"/>
    <w:rsid w:val="00CD1C1D"/>
    <w:rsid w:val="00CD2292"/>
    <w:rsid w:val="00CD2D1C"/>
    <w:rsid w:val="00CE23BE"/>
    <w:rsid w:val="00CE2564"/>
    <w:rsid w:val="00D02948"/>
    <w:rsid w:val="00D03BDB"/>
    <w:rsid w:val="00D03FB3"/>
    <w:rsid w:val="00D05390"/>
    <w:rsid w:val="00D21CAE"/>
    <w:rsid w:val="00D31451"/>
    <w:rsid w:val="00D31F91"/>
    <w:rsid w:val="00D33ECB"/>
    <w:rsid w:val="00D35176"/>
    <w:rsid w:val="00D36528"/>
    <w:rsid w:val="00D40192"/>
    <w:rsid w:val="00D45839"/>
    <w:rsid w:val="00D47804"/>
    <w:rsid w:val="00D515B2"/>
    <w:rsid w:val="00D51B01"/>
    <w:rsid w:val="00D60ADB"/>
    <w:rsid w:val="00D61434"/>
    <w:rsid w:val="00D61F68"/>
    <w:rsid w:val="00D63A26"/>
    <w:rsid w:val="00D65451"/>
    <w:rsid w:val="00D65508"/>
    <w:rsid w:val="00D714EB"/>
    <w:rsid w:val="00D71C23"/>
    <w:rsid w:val="00D723AD"/>
    <w:rsid w:val="00D72999"/>
    <w:rsid w:val="00D75999"/>
    <w:rsid w:val="00D763F6"/>
    <w:rsid w:val="00D804EA"/>
    <w:rsid w:val="00D93B73"/>
    <w:rsid w:val="00D9676B"/>
    <w:rsid w:val="00D97DE8"/>
    <w:rsid w:val="00DA0C48"/>
    <w:rsid w:val="00DA22D1"/>
    <w:rsid w:val="00DB3C5F"/>
    <w:rsid w:val="00DD2BCE"/>
    <w:rsid w:val="00DD35D6"/>
    <w:rsid w:val="00DD5123"/>
    <w:rsid w:val="00DD71CD"/>
    <w:rsid w:val="00DE2F5A"/>
    <w:rsid w:val="00DF6A42"/>
    <w:rsid w:val="00E01054"/>
    <w:rsid w:val="00E155BF"/>
    <w:rsid w:val="00E1697D"/>
    <w:rsid w:val="00E24ECD"/>
    <w:rsid w:val="00E26FFC"/>
    <w:rsid w:val="00E36962"/>
    <w:rsid w:val="00E37FCD"/>
    <w:rsid w:val="00E428DE"/>
    <w:rsid w:val="00E4616C"/>
    <w:rsid w:val="00E6075C"/>
    <w:rsid w:val="00E668EF"/>
    <w:rsid w:val="00E66E90"/>
    <w:rsid w:val="00E71098"/>
    <w:rsid w:val="00E73E95"/>
    <w:rsid w:val="00E80018"/>
    <w:rsid w:val="00E8204B"/>
    <w:rsid w:val="00E82B3B"/>
    <w:rsid w:val="00E85BE1"/>
    <w:rsid w:val="00E875AB"/>
    <w:rsid w:val="00E87B60"/>
    <w:rsid w:val="00E93405"/>
    <w:rsid w:val="00E93F46"/>
    <w:rsid w:val="00E958D8"/>
    <w:rsid w:val="00E970FD"/>
    <w:rsid w:val="00EA1092"/>
    <w:rsid w:val="00EA118F"/>
    <w:rsid w:val="00EC7EDA"/>
    <w:rsid w:val="00ED410A"/>
    <w:rsid w:val="00EE2D5A"/>
    <w:rsid w:val="00EE5CEE"/>
    <w:rsid w:val="00EF255C"/>
    <w:rsid w:val="00EF5C87"/>
    <w:rsid w:val="00F019B6"/>
    <w:rsid w:val="00F03F3C"/>
    <w:rsid w:val="00F0740C"/>
    <w:rsid w:val="00F14246"/>
    <w:rsid w:val="00F14C63"/>
    <w:rsid w:val="00F16103"/>
    <w:rsid w:val="00F17949"/>
    <w:rsid w:val="00F24F2D"/>
    <w:rsid w:val="00F30BA8"/>
    <w:rsid w:val="00F31337"/>
    <w:rsid w:val="00F34B3D"/>
    <w:rsid w:val="00F414E5"/>
    <w:rsid w:val="00F42403"/>
    <w:rsid w:val="00F4565B"/>
    <w:rsid w:val="00F50A3B"/>
    <w:rsid w:val="00F56820"/>
    <w:rsid w:val="00F662C2"/>
    <w:rsid w:val="00F7481D"/>
    <w:rsid w:val="00F83CC9"/>
    <w:rsid w:val="00F844BA"/>
    <w:rsid w:val="00F91677"/>
    <w:rsid w:val="00F9656E"/>
    <w:rsid w:val="00FA15ED"/>
    <w:rsid w:val="00FA4B9F"/>
    <w:rsid w:val="00FA5DC9"/>
    <w:rsid w:val="00FA5EE9"/>
    <w:rsid w:val="00FB07A5"/>
    <w:rsid w:val="00FB11C9"/>
    <w:rsid w:val="00FB458B"/>
    <w:rsid w:val="00FC0A6F"/>
    <w:rsid w:val="00FC5774"/>
    <w:rsid w:val="00FC7793"/>
    <w:rsid w:val="00FD47E8"/>
    <w:rsid w:val="00FD5163"/>
    <w:rsid w:val="00FD7473"/>
    <w:rsid w:val="00FD7CB4"/>
    <w:rsid w:val="00FE0341"/>
    <w:rsid w:val="00FE0954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0A99A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103"/>
    <w:pPr>
      <w:keepNext/>
      <w:keepLines/>
      <w:spacing w:before="240" w:after="120"/>
      <w:jc w:val="both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2D1"/>
    <w:pPr>
      <w:keepNext/>
      <w:keepLines/>
      <w:spacing w:before="120" w:after="120"/>
      <w:ind w:left="708"/>
      <w:jc w:val="both"/>
      <w:outlineLvl w:val="1"/>
    </w:pPr>
    <w:rPr>
      <w:rFonts w:eastAsiaTheme="majorEastAsia" w:cstheme="majorBidi"/>
      <w:b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D5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D5A"/>
    <w:rPr>
      <w:rFonts w:ascii="Calibri" w:hAnsi="Calibri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33ECB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ECB"/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paragraph" w:styleId="Revision">
    <w:name w:val="Revision"/>
    <w:hidden/>
    <w:uiPriority w:val="99"/>
    <w:semiHidden/>
    <w:rsid w:val="00CD138E"/>
    <w:pPr>
      <w:spacing w:after="0" w:line="240" w:lineRule="auto"/>
    </w:pPr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16103"/>
    <w:rPr>
      <w:rFonts w:ascii="Calibri" w:eastAsiaTheme="majorEastAsia" w:hAnsi="Calibri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D33E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A22D1"/>
    <w:rPr>
      <w:rFonts w:ascii="Calibri" w:eastAsiaTheme="majorEastAsia" w:hAnsi="Calibri" w:cstheme="majorBidi"/>
      <w:b/>
      <w:i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31B52-18A7-45F9-A78F-DC230068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2442</Words>
  <Characters>13926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Morana Jerković</cp:lastModifiedBy>
  <cp:revision>216</cp:revision>
  <cp:lastPrinted>2022-09-27T12:11:00Z</cp:lastPrinted>
  <dcterms:created xsi:type="dcterms:W3CDTF">2026-03-24T12:02:00Z</dcterms:created>
  <dcterms:modified xsi:type="dcterms:W3CDTF">2026-03-25T22:42:00Z</dcterms:modified>
</cp:coreProperties>
</file>