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74697" w14:textId="7E12B832" w:rsidR="00786331" w:rsidRPr="00DD6780" w:rsidRDefault="000C54E9">
      <w:pPr>
        <w:jc w:val="both"/>
        <w:rPr>
          <w:b/>
        </w:rPr>
      </w:pPr>
      <w:r w:rsidRPr="00E573D2">
        <w:rPr>
          <w:b/>
          <w:color w:val="0070C0"/>
        </w:rPr>
        <w:tab/>
      </w:r>
      <w:r w:rsidR="002B2CC0" w:rsidRPr="00DD6780">
        <w:rPr>
          <w:b/>
        </w:rPr>
        <w:t>OBRAZLOŽENJE POSEBNOG DIJELA FINANCIJSKOG PLANA</w:t>
      </w:r>
    </w:p>
    <w:p w14:paraId="1F374698" w14:textId="77777777" w:rsidR="00786331" w:rsidRPr="00DD6780" w:rsidRDefault="002B2CC0">
      <w:pPr>
        <w:jc w:val="both"/>
        <w:rPr>
          <w:b/>
        </w:rPr>
      </w:pPr>
      <w:r w:rsidRPr="00DD6780">
        <w:rPr>
          <w:b/>
        </w:rPr>
        <w:t>SVEUČILIŠTE U ZAGREBU FAKULTET STROJARSTVA I BRODOGRADNJE</w:t>
      </w:r>
    </w:p>
    <w:p w14:paraId="1F374699" w14:textId="7D7935B2" w:rsidR="00786331" w:rsidRPr="00DD6780" w:rsidRDefault="002B2CC0">
      <w:pPr>
        <w:jc w:val="both"/>
        <w:rPr>
          <w:b/>
          <w:sz w:val="32"/>
          <w:szCs w:val="32"/>
        </w:rPr>
      </w:pPr>
      <w:r w:rsidRPr="00DD6780">
        <w:rPr>
          <w:b/>
          <w:sz w:val="32"/>
          <w:szCs w:val="32"/>
        </w:rPr>
        <w:t xml:space="preserve"> za razdoblje 202</w:t>
      </w:r>
      <w:r w:rsidR="00610E6B">
        <w:rPr>
          <w:b/>
          <w:sz w:val="32"/>
          <w:szCs w:val="32"/>
        </w:rPr>
        <w:t>5</w:t>
      </w:r>
      <w:r w:rsidRPr="00DD6780">
        <w:rPr>
          <w:b/>
          <w:sz w:val="32"/>
          <w:szCs w:val="32"/>
        </w:rPr>
        <w:t>.-202</w:t>
      </w:r>
      <w:r w:rsidR="00610E6B">
        <w:rPr>
          <w:b/>
          <w:sz w:val="32"/>
          <w:szCs w:val="32"/>
        </w:rPr>
        <w:t>7</w:t>
      </w:r>
      <w:r w:rsidRPr="00DD6780">
        <w:rPr>
          <w:b/>
          <w:sz w:val="32"/>
          <w:szCs w:val="32"/>
        </w:rPr>
        <w:t>.g.</w:t>
      </w:r>
    </w:p>
    <w:p w14:paraId="1F37469A" w14:textId="77777777" w:rsidR="00786331" w:rsidRPr="00DD6780" w:rsidRDefault="00786331"/>
    <w:p w14:paraId="1F37469B" w14:textId="77777777" w:rsidR="00786331" w:rsidRPr="00DD6780" w:rsidRDefault="002B2CC0">
      <w:pPr>
        <w:pBdr>
          <w:top w:val="dotted" w:sz="4" w:space="1" w:color="808080"/>
          <w:bottom w:val="dotted" w:sz="4" w:space="1" w:color="808080"/>
        </w:pBdr>
        <w:shd w:val="clear" w:color="auto" w:fill="D0CECE"/>
        <w:spacing w:after="160" w:line="259" w:lineRule="auto"/>
        <w:ind w:firstLine="284"/>
        <w:jc w:val="both"/>
        <w:rPr>
          <w:b/>
          <w:sz w:val="28"/>
          <w:szCs w:val="28"/>
        </w:rPr>
      </w:pPr>
      <w:r w:rsidRPr="00DD6780">
        <w:rPr>
          <w:b/>
          <w:sz w:val="28"/>
          <w:szCs w:val="28"/>
        </w:rPr>
        <w:t>Sažetak djelokruga rada proračunskog korisnika</w:t>
      </w:r>
    </w:p>
    <w:p w14:paraId="1F37469C" w14:textId="5A7DE3A8" w:rsidR="00786331" w:rsidRPr="00DD6780" w:rsidRDefault="002B2CC0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</w:pPr>
      <w:r w:rsidRPr="00DD6780">
        <w:t>Fakultet strojarstva i brodogradnje Sveučilišta u Zagrebu je vodeća institucija u području strojarstva, brodogradnje i zrakoplovnog inženjerstva u Republici Hrvatskoj. Fakultet ima ulogu povezivanja istraživačkog i nastavnog procesa u svrhu kreiranja novih vrijednosti transferom rezultata istraživačkog rada za dobrobit gospodarstva. Svoju ulogu ostvaruje obrazovanjem stručnjaka kroz pr</w:t>
      </w:r>
      <w:r w:rsidR="00CE14D3">
        <w:t>ije</w:t>
      </w:r>
      <w:r w:rsidRPr="00DD6780">
        <w:t>diplomske, diplomske, poslijediplomske doktorske i poslijediplomske specijalističke studije.</w:t>
      </w:r>
    </w:p>
    <w:p w14:paraId="1F37469D" w14:textId="4DCD2B6B" w:rsidR="00786331" w:rsidRPr="00DD6780" w:rsidRDefault="002B2CC0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</w:pPr>
      <w:r w:rsidRPr="00DD6780">
        <w:t>Na Fakultetu se trenutno izvode 4 pr</w:t>
      </w:r>
      <w:r w:rsidR="00CE14D3">
        <w:t>ije</w:t>
      </w:r>
      <w:r w:rsidRPr="00DD6780">
        <w:t>diplomska (strojarstvo, brodogradnja, zrakoplovno inženjerstvo</w:t>
      </w:r>
      <w:r w:rsidR="009B0142" w:rsidRPr="00DD6780">
        <w:t xml:space="preserve"> i svemirska tehnika</w:t>
      </w:r>
      <w:r w:rsidRPr="00DD6780">
        <w:t xml:space="preserve"> te mehatronika i robotika) i </w:t>
      </w:r>
      <w:r w:rsidR="00CE14D3">
        <w:t>4</w:t>
      </w:r>
      <w:r w:rsidRPr="00DD6780">
        <w:t xml:space="preserve"> diplomska studija (strojarstvo, brodogradnja</w:t>
      </w:r>
      <w:r w:rsidR="00CE14D3">
        <w:t>,</w:t>
      </w:r>
      <w:r w:rsidRPr="00DD6780">
        <w:t xml:space="preserve"> zrakoplovno inženjerstvo</w:t>
      </w:r>
      <w:r w:rsidR="00CE14D3">
        <w:t xml:space="preserve"> te mehatronika i robotika</w:t>
      </w:r>
      <w:r w:rsidRPr="00DD6780">
        <w:t>) s oko 2</w:t>
      </w:r>
      <w:r w:rsidR="00CE14D3">
        <w:t>5</w:t>
      </w:r>
      <w:r w:rsidRPr="00DD6780">
        <w:t xml:space="preserve">00 studenata. </w:t>
      </w:r>
      <w:r w:rsidR="00CE14D3">
        <w:t>Prijediplomski s</w:t>
      </w:r>
      <w:r w:rsidRPr="00DD6780">
        <w:t>tudiji brodogradnje</w:t>
      </w:r>
      <w:r w:rsidR="00CE14D3">
        <w:t>,</w:t>
      </w:r>
      <w:r w:rsidRPr="00DD6780">
        <w:t xml:space="preserve"> zrakoplovnog inženjerstva </w:t>
      </w:r>
      <w:r w:rsidR="00CE14D3">
        <w:t xml:space="preserve">i svemirske </w:t>
      </w:r>
      <w:r w:rsidR="00D978D3">
        <w:t>tehnike te mehatronike i robotike</w:t>
      </w:r>
      <w:r w:rsidRPr="00DD6780">
        <w:t xml:space="preserve"> nemaju </w:t>
      </w:r>
      <w:r w:rsidR="00D978D3">
        <w:t>usmjerenja</w:t>
      </w:r>
      <w:r w:rsidRPr="00DD6780">
        <w:t xml:space="preserve"> već se usmjeravanje u željeno područje struke omogućava izborom odgovarajuće skupine izbornih kolegija. </w:t>
      </w:r>
      <w:r w:rsidR="00CE14D3">
        <w:t>Prijediplomski studij</w:t>
      </w:r>
      <w:r w:rsidRPr="00DD6780">
        <w:t xml:space="preserve"> strojarstva nudi </w:t>
      </w:r>
      <w:r w:rsidR="00CE14D3">
        <w:t>10</w:t>
      </w:r>
      <w:r w:rsidRPr="00DD6780">
        <w:t xml:space="preserve"> </w:t>
      </w:r>
      <w:r w:rsidR="00CE14D3">
        <w:t>usmjerenja</w:t>
      </w:r>
      <w:r w:rsidRPr="00DD6780">
        <w:t>, čime student dobiva blago usmjeravanje prema odabranom području strojarske struke. Diplomski dio studija na FSB daje stručno i znanstveno produbljenje znanja stečenih na pr</w:t>
      </w:r>
      <w:r w:rsidR="00CE14D3">
        <w:t>ije</w:t>
      </w:r>
      <w:r w:rsidRPr="00DD6780">
        <w:t>diplomskom studiju</w:t>
      </w:r>
      <w:r w:rsidR="00D978D3">
        <w:t xml:space="preserve"> te daljnje usmjeravanje u smjerove na studiju strojarstva te studiju mehatronike i robotike.</w:t>
      </w:r>
      <w:r w:rsidRPr="00DD6780">
        <w:t xml:space="preserve"> Završetkom diplomskog studija polaznici su osposobljeni za obavljanje najsloženijih inženjerskih zadaća temeljenih na znanstvenom pristupu rješavanju problema. </w:t>
      </w:r>
    </w:p>
    <w:p w14:paraId="1F37469E" w14:textId="77777777" w:rsidR="00786331" w:rsidRPr="00DD6780" w:rsidRDefault="002B2CC0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</w:pPr>
      <w:r w:rsidRPr="00DD6780">
        <w:t>Na doktorskom studiju je učinjen pomak od nastavno orijentiranog prema istraživački orijentiranom studiju. Poslijediplomski sveučilišni (doktorski) studij Strojarstvo, brodogradnja, zrakoplovstvo, metalurgija izvodi se zajedno s Metalurškim fakultetom po smjerovima koja pripadaju sljedećim znanstvenim poljima: strojarstvo, brodogradnja, zrakoplovstvo, raketna i svemirska tehnika, metalurgija, temeljne tehničke znanosti. Poslijediplomski specijalistički studij Strojarstvo i brodogradnja dio je koncepta cjeloživotnog obrazovanja, s kojim se povećavaju stručna znanja, vještine i kompetencije.</w:t>
      </w:r>
    </w:p>
    <w:p w14:paraId="1F37469F" w14:textId="77777777" w:rsidR="00786331" w:rsidRPr="00DD6780" w:rsidRDefault="002B2C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DD6780">
        <w:t>Na Fakultetu se ostvaruju znanstveni projekti koji značajno utječu na osobni razvoj nastavnika i podizanje kvalitete i širine nastavnog rada na diplomskoj, a posebno na poslijediplomskoj razini. Svoju djelatnost u europskom okruženju Fakultet ostvaruje kroz različite Europske znanstvene, nastavne i bilateralne projekte te kroz programe razmjene studenata, nastavnog i nenastavnog osoblja.</w:t>
      </w:r>
    </w:p>
    <w:p w14:paraId="1F3746A0" w14:textId="77777777" w:rsidR="00786331" w:rsidRPr="00E573D2" w:rsidRDefault="002B2CC0">
      <w:pPr>
        <w:spacing w:line="276" w:lineRule="auto"/>
        <w:jc w:val="both"/>
        <w:rPr>
          <w:color w:val="0070C0"/>
        </w:rPr>
      </w:pPr>
      <w:r w:rsidRPr="00E573D2">
        <w:rPr>
          <w:color w:val="0070C0"/>
        </w:rPr>
        <w:t xml:space="preserve"> </w:t>
      </w:r>
    </w:p>
    <w:p w14:paraId="1F3746A1" w14:textId="77777777" w:rsidR="00786331" w:rsidRPr="00E573D2" w:rsidRDefault="00786331">
      <w:pPr>
        <w:spacing w:line="276" w:lineRule="auto"/>
        <w:jc w:val="both"/>
        <w:rPr>
          <w:color w:val="0070C0"/>
        </w:rPr>
      </w:pPr>
    </w:p>
    <w:p w14:paraId="1F3746A2" w14:textId="77777777" w:rsidR="00786331" w:rsidRPr="00E573D2" w:rsidRDefault="00786331">
      <w:pPr>
        <w:spacing w:line="276" w:lineRule="auto"/>
        <w:jc w:val="both"/>
        <w:rPr>
          <w:color w:val="0070C0"/>
        </w:rPr>
      </w:pPr>
    </w:p>
    <w:p w14:paraId="1F3746A3" w14:textId="77777777" w:rsidR="00786331" w:rsidRPr="00E573D2" w:rsidRDefault="00786331">
      <w:pPr>
        <w:spacing w:line="276" w:lineRule="auto"/>
        <w:jc w:val="both"/>
        <w:rPr>
          <w:color w:val="0070C0"/>
        </w:rPr>
      </w:pPr>
    </w:p>
    <w:p w14:paraId="1F3746A4" w14:textId="77777777" w:rsidR="00786331" w:rsidRPr="00E573D2" w:rsidRDefault="00786331">
      <w:pPr>
        <w:spacing w:line="276" w:lineRule="auto"/>
        <w:jc w:val="both"/>
        <w:rPr>
          <w:color w:val="0070C0"/>
        </w:rPr>
      </w:pPr>
    </w:p>
    <w:p w14:paraId="1F3746A5" w14:textId="77777777" w:rsidR="00786331" w:rsidRPr="00E573D2" w:rsidRDefault="00786331">
      <w:pPr>
        <w:spacing w:line="276" w:lineRule="auto"/>
        <w:rPr>
          <w:color w:val="0070C0"/>
        </w:rPr>
      </w:pPr>
    </w:p>
    <w:p w14:paraId="1F3746A6" w14:textId="77777777" w:rsidR="00786331" w:rsidRPr="00DD6780" w:rsidRDefault="002B2CC0">
      <w:pPr>
        <w:pBdr>
          <w:top w:val="dotted" w:sz="4" w:space="1" w:color="808080"/>
          <w:bottom w:val="dotted" w:sz="4" w:space="1" w:color="808080"/>
        </w:pBdr>
        <w:shd w:val="clear" w:color="auto" w:fill="D0CECE"/>
        <w:spacing w:after="160" w:line="259" w:lineRule="auto"/>
        <w:jc w:val="both"/>
        <w:rPr>
          <w:b/>
          <w:sz w:val="28"/>
          <w:szCs w:val="28"/>
        </w:rPr>
      </w:pPr>
      <w:r w:rsidRPr="00DD6780">
        <w:rPr>
          <w:b/>
          <w:sz w:val="28"/>
          <w:szCs w:val="28"/>
        </w:rPr>
        <w:t xml:space="preserve">A621001 Redovna djelatnost Sveučilište u Zagrebu </w:t>
      </w:r>
    </w:p>
    <w:p w14:paraId="1F3746A7" w14:textId="77777777" w:rsidR="00786331" w:rsidRPr="00DD6780" w:rsidRDefault="002B2CC0">
      <w:pPr>
        <w:jc w:val="both"/>
        <w:rPr>
          <w:i/>
        </w:rPr>
      </w:pPr>
      <w:r w:rsidRPr="00DD6780">
        <w:rPr>
          <w:i/>
        </w:rPr>
        <w:t>Zakonske i druge pravne osnove</w:t>
      </w:r>
    </w:p>
    <w:p w14:paraId="1F3746A8" w14:textId="77777777" w:rsidR="00786331" w:rsidRPr="00DD6780" w:rsidRDefault="002B2C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DD6780">
        <w:t xml:space="preserve">Zakon o znanstvenoj djelatnosti i visokom obrazovanju </w:t>
      </w:r>
    </w:p>
    <w:p w14:paraId="1F3746A9" w14:textId="77777777" w:rsidR="00786331" w:rsidRPr="00DD6780" w:rsidRDefault="002B2C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DD6780">
        <w:t xml:space="preserve">Kolektivni ugovor za znanost i visoko obrazovanje </w:t>
      </w:r>
    </w:p>
    <w:p w14:paraId="1F3746AA" w14:textId="77777777" w:rsidR="00786331" w:rsidRPr="00DD6780" w:rsidRDefault="002B2C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DD6780">
        <w:t xml:space="preserve">Zakon o studentskom zboru i drugim studentskim organizacijama </w:t>
      </w:r>
    </w:p>
    <w:p w14:paraId="1F3746AB" w14:textId="77777777" w:rsidR="00786331" w:rsidRPr="00DD6780" w:rsidRDefault="002B2C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DD6780">
        <w:t>Strategija znanosti, obrazovanja i tehnologije</w:t>
      </w:r>
    </w:p>
    <w:p w14:paraId="1F3746AC" w14:textId="77777777" w:rsidR="00786331" w:rsidRPr="00DD6780" w:rsidRDefault="002B2C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bookmarkStart w:id="0" w:name="_heading=h.gjdgxs" w:colFirst="0" w:colLast="0"/>
      <w:bookmarkEnd w:id="0"/>
      <w:r w:rsidRPr="00DD6780">
        <w:t>Strategija Fakulteta strojarstva i brodogradnje 2014.-2025.</w:t>
      </w:r>
    </w:p>
    <w:p w14:paraId="1F3746AD" w14:textId="77777777" w:rsidR="00786331" w:rsidRDefault="00786331">
      <w:pPr>
        <w:jc w:val="both"/>
        <w:rPr>
          <w:i/>
        </w:rPr>
      </w:pPr>
    </w:p>
    <w:tbl>
      <w:tblPr>
        <w:tblStyle w:val="a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2"/>
        <w:gridCol w:w="1248"/>
        <w:gridCol w:w="1248"/>
        <w:gridCol w:w="1248"/>
        <w:gridCol w:w="1275"/>
        <w:gridCol w:w="1275"/>
        <w:gridCol w:w="1136"/>
      </w:tblGrid>
      <w:tr w:rsidR="00786331" w14:paraId="1F3746B6" w14:textId="77777777" w:rsidTr="00403411">
        <w:trPr>
          <w:trHeight w:val="817"/>
        </w:trPr>
        <w:tc>
          <w:tcPr>
            <w:tcW w:w="1632" w:type="dxa"/>
            <w:shd w:val="clear" w:color="auto" w:fill="D0CECE"/>
          </w:tcPr>
          <w:p w14:paraId="1F3746AE" w14:textId="77777777" w:rsidR="00786331" w:rsidRDefault="00786331">
            <w:pPr>
              <w:jc w:val="both"/>
            </w:pPr>
          </w:p>
          <w:p w14:paraId="1F3746AF" w14:textId="77777777" w:rsidR="00786331" w:rsidRDefault="00786331">
            <w:pPr>
              <w:jc w:val="both"/>
            </w:pPr>
          </w:p>
        </w:tc>
        <w:tc>
          <w:tcPr>
            <w:tcW w:w="1248" w:type="dxa"/>
            <w:shd w:val="clear" w:color="auto" w:fill="D0CECE"/>
            <w:vAlign w:val="center"/>
          </w:tcPr>
          <w:p w14:paraId="1F3746B0" w14:textId="64BF0E2C" w:rsidR="00786331" w:rsidRDefault="002B2CC0" w:rsidP="00610E6B">
            <w:pPr>
              <w:jc w:val="center"/>
            </w:pPr>
            <w:r>
              <w:t>Izvršenje 202</w:t>
            </w:r>
            <w:r w:rsidR="00610E6B">
              <w:t>3</w:t>
            </w:r>
            <w:r>
              <w:t>.</w:t>
            </w:r>
          </w:p>
        </w:tc>
        <w:tc>
          <w:tcPr>
            <w:tcW w:w="1248" w:type="dxa"/>
            <w:shd w:val="clear" w:color="auto" w:fill="D0CECE"/>
            <w:vAlign w:val="center"/>
          </w:tcPr>
          <w:p w14:paraId="1F3746B1" w14:textId="71962A91" w:rsidR="00786331" w:rsidRDefault="002B2CC0" w:rsidP="00610E6B">
            <w:pPr>
              <w:jc w:val="center"/>
            </w:pPr>
            <w:r>
              <w:t>Plan 202</w:t>
            </w:r>
            <w:r w:rsidR="00610E6B">
              <w:t>4</w:t>
            </w:r>
            <w:r>
              <w:t>.</w:t>
            </w:r>
          </w:p>
        </w:tc>
        <w:tc>
          <w:tcPr>
            <w:tcW w:w="1248" w:type="dxa"/>
            <w:shd w:val="clear" w:color="auto" w:fill="D0CECE"/>
            <w:vAlign w:val="center"/>
          </w:tcPr>
          <w:p w14:paraId="1F3746B2" w14:textId="7D62D750" w:rsidR="00786331" w:rsidRDefault="002B2CC0" w:rsidP="00610E6B">
            <w:pPr>
              <w:jc w:val="center"/>
            </w:pPr>
            <w:r>
              <w:t>Plan 202</w:t>
            </w:r>
            <w:r w:rsidR="00610E6B">
              <w:t>5</w:t>
            </w:r>
            <w:r>
              <w:t>.</w:t>
            </w:r>
          </w:p>
        </w:tc>
        <w:tc>
          <w:tcPr>
            <w:tcW w:w="1275" w:type="dxa"/>
            <w:shd w:val="clear" w:color="auto" w:fill="D0CECE"/>
            <w:vAlign w:val="center"/>
          </w:tcPr>
          <w:p w14:paraId="1F3746B3" w14:textId="798B0300" w:rsidR="00786331" w:rsidRDefault="002B2CC0" w:rsidP="00610E6B">
            <w:pPr>
              <w:jc w:val="center"/>
            </w:pPr>
            <w:r>
              <w:t>Plan 202</w:t>
            </w:r>
            <w:r w:rsidR="00610E6B">
              <w:t>6</w:t>
            </w:r>
            <w:r>
              <w:t>.</w:t>
            </w:r>
          </w:p>
        </w:tc>
        <w:tc>
          <w:tcPr>
            <w:tcW w:w="1275" w:type="dxa"/>
            <w:shd w:val="clear" w:color="auto" w:fill="D0CECE"/>
            <w:vAlign w:val="center"/>
          </w:tcPr>
          <w:p w14:paraId="1F3746B4" w14:textId="29049965" w:rsidR="00786331" w:rsidRDefault="002B2CC0" w:rsidP="00610E6B">
            <w:pPr>
              <w:jc w:val="center"/>
            </w:pPr>
            <w:r>
              <w:t>Plan 202</w:t>
            </w:r>
            <w:r w:rsidR="00610E6B">
              <w:t>7</w:t>
            </w:r>
            <w:r>
              <w:t>.</w:t>
            </w:r>
          </w:p>
        </w:tc>
        <w:tc>
          <w:tcPr>
            <w:tcW w:w="1136" w:type="dxa"/>
            <w:shd w:val="clear" w:color="auto" w:fill="D0CECE"/>
            <w:vAlign w:val="center"/>
          </w:tcPr>
          <w:p w14:paraId="1F3746B5" w14:textId="0BF6E91A" w:rsidR="00786331" w:rsidRDefault="002B2CC0" w:rsidP="00610E6B">
            <w:pPr>
              <w:jc w:val="center"/>
            </w:pPr>
            <w:r>
              <w:t>Indeks 2</w:t>
            </w:r>
            <w:r w:rsidR="00610E6B">
              <w:t>5</w:t>
            </w:r>
            <w:r>
              <w:t>./2</w:t>
            </w:r>
            <w:r w:rsidR="00610E6B">
              <w:t>4</w:t>
            </w:r>
            <w:r>
              <w:t>.</w:t>
            </w:r>
          </w:p>
        </w:tc>
      </w:tr>
      <w:tr w:rsidR="00786331" w14:paraId="1F3746BF" w14:textId="77777777">
        <w:tc>
          <w:tcPr>
            <w:tcW w:w="1632" w:type="dxa"/>
          </w:tcPr>
          <w:p w14:paraId="1F3746B7" w14:textId="77777777" w:rsidR="00786331" w:rsidRDefault="002B2CC0">
            <w:r>
              <w:t>A621001</w:t>
            </w:r>
          </w:p>
          <w:p w14:paraId="1F3746B8" w14:textId="77777777" w:rsidR="00786331" w:rsidRDefault="002B2CC0">
            <w:r>
              <w:t>Redovna djelatnost Fakulteta strojarstva i brodogradnje</w:t>
            </w:r>
          </w:p>
        </w:tc>
        <w:tc>
          <w:tcPr>
            <w:tcW w:w="1248" w:type="dxa"/>
            <w:shd w:val="clear" w:color="auto" w:fill="auto"/>
          </w:tcPr>
          <w:p w14:paraId="1B3BE871" w14:textId="79CA3BB1" w:rsidR="00F862F3" w:rsidRPr="00A30EE1" w:rsidRDefault="00542B9A" w:rsidP="00F862F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11.251.659</w:t>
            </w:r>
          </w:p>
          <w:p w14:paraId="1F3746B9" w14:textId="79C249DC" w:rsidR="00786331" w:rsidRPr="00A30EE1" w:rsidRDefault="007863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14:paraId="400B1D2F" w14:textId="4655C307" w:rsidR="00F862F3" w:rsidRPr="00A30EE1" w:rsidRDefault="00542B9A" w:rsidP="00F862F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13.661.386</w:t>
            </w:r>
          </w:p>
          <w:p w14:paraId="1F3746BA" w14:textId="5DB1A4A6" w:rsidR="00786331" w:rsidRPr="00A30EE1" w:rsidRDefault="007863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14:paraId="0FABDBBD" w14:textId="664649D1" w:rsidR="00E06530" w:rsidRPr="00A30EE1" w:rsidRDefault="00542B9A" w:rsidP="00F862F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</w:t>
            </w:r>
            <w:r w:rsidR="00E06530">
              <w:rPr>
                <w:rFonts w:ascii="Arial" w:hAnsi="Arial" w:cs="Arial"/>
                <w:b/>
                <w:bCs/>
                <w:sz w:val="20"/>
                <w:szCs w:val="20"/>
              </w:rPr>
              <w:t>237.148</w:t>
            </w:r>
          </w:p>
          <w:p w14:paraId="1F3746BB" w14:textId="0A828C70" w:rsidR="00786331" w:rsidRPr="00A30EE1" w:rsidRDefault="0078633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210DDF73" w14:textId="728239E2" w:rsidR="00F862F3" w:rsidRPr="00A30EE1" w:rsidRDefault="00542B9A" w:rsidP="00F862F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14.3</w:t>
            </w:r>
            <w:r w:rsidR="00E06530">
              <w:rPr>
                <w:rFonts w:ascii="Arial" w:hAnsi="Arial" w:cs="Arial"/>
                <w:b/>
                <w:bCs/>
                <w:sz w:val="20"/>
                <w:szCs w:val="20"/>
              </w:rPr>
              <w:t>07.004</w:t>
            </w:r>
          </w:p>
          <w:p w14:paraId="1F3746BC" w14:textId="0E5B05D9" w:rsidR="00786331" w:rsidRPr="00A30EE1" w:rsidRDefault="007863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8AC2B4A" w14:textId="096B5F2C" w:rsidR="00F862F3" w:rsidRDefault="00542B9A" w:rsidP="00F862F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14.3</w:t>
            </w:r>
            <w:r w:rsidR="00E06530">
              <w:rPr>
                <w:rFonts w:ascii="Arial" w:hAnsi="Arial" w:cs="Arial"/>
                <w:b/>
                <w:bCs/>
                <w:sz w:val="20"/>
                <w:szCs w:val="20"/>
              </w:rPr>
              <w:t>77.209</w:t>
            </w:r>
          </w:p>
          <w:p w14:paraId="684EEB0C" w14:textId="77777777" w:rsidR="001F00DC" w:rsidRPr="00A30EE1" w:rsidRDefault="001F00DC" w:rsidP="00F862F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  <w:p w14:paraId="1F3746BD" w14:textId="1111D29B" w:rsidR="00786331" w:rsidRPr="00A30EE1" w:rsidRDefault="007863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1F3746BE" w14:textId="383C7790" w:rsidR="00786331" w:rsidRPr="00A30EE1" w:rsidRDefault="00542B9A" w:rsidP="001F00D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E078AD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</w:tbl>
    <w:p w14:paraId="1F3746C0" w14:textId="369C27AB" w:rsidR="00786331" w:rsidRPr="00DD6780" w:rsidRDefault="002B2CC0">
      <w:pPr>
        <w:spacing w:before="240"/>
        <w:jc w:val="both"/>
        <w:rPr>
          <w:i/>
        </w:rPr>
      </w:pPr>
      <w:r w:rsidRPr="00DD6780">
        <w:rPr>
          <w:i/>
        </w:rPr>
        <w:t>Ova aktivnost/ projekt sastoji se od sljedećih elemenata/ podaktivnosti:</w:t>
      </w:r>
    </w:p>
    <w:p w14:paraId="1F3746C1" w14:textId="77777777" w:rsidR="00786331" w:rsidRPr="00DD6780" w:rsidRDefault="002B2C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i/>
          <w:sz w:val="22"/>
          <w:szCs w:val="22"/>
        </w:rPr>
      </w:pPr>
      <w:r w:rsidRPr="00DD6780">
        <w:rPr>
          <w:i/>
          <w:sz w:val="22"/>
          <w:szCs w:val="22"/>
        </w:rPr>
        <w:t>Financiranja rashoda za plaće</w:t>
      </w:r>
    </w:p>
    <w:p w14:paraId="1F3746C2" w14:textId="77777777" w:rsidR="00786331" w:rsidRPr="00DD6780" w:rsidRDefault="002B2C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i/>
          <w:sz w:val="22"/>
          <w:szCs w:val="22"/>
        </w:rPr>
      </w:pPr>
      <w:r w:rsidRPr="00DD6780">
        <w:rPr>
          <w:i/>
          <w:sz w:val="22"/>
          <w:szCs w:val="22"/>
        </w:rPr>
        <w:t>Financiranja materijalnih prava zaposlenih</w:t>
      </w:r>
    </w:p>
    <w:p w14:paraId="1F3746C3" w14:textId="77777777" w:rsidR="00786331" w:rsidRPr="00DD6780" w:rsidRDefault="002B2C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i/>
          <w:sz w:val="22"/>
          <w:szCs w:val="22"/>
        </w:rPr>
      </w:pPr>
      <w:r w:rsidRPr="00DD6780">
        <w:rPr>
          <w:i/>
          <w:sz w:val="22"/>
          <w:szCs w:val="22"/>
        </w:rPr>
        <w:t>Financiranje rada studentskog zbora</w:t>
      </w:r>
    </w:p>
    <w:p w14:paraId="1F3746C4" w14:textId="77777777" w:rsidR="00786331" w:rsidRPr="00DD6780" w:rsidRDefault="002B2CC0">
      <w:pPr>
        <w:jc w:val="both"/>
        <w:rPr>
          <w:i/>
        </w:rPr>
      </w:pPr>
      <w:r w:rsidRPr="00DD6780">
        <w:rPr>
          <w:i/>
        </w:rPr>
        <w:t xml:space="preserve">Ova aktivnost provodi se svake godine.  </w:t>
      </w:r>
    </w:p>
    <w:p w14:paraId="1F3746C5" w14:textId="77777777" w:rsidR="00786331" w:rsidRDefault="00786331">
      <w:pPr>
        <w:jc w:val="both"/>
        <w:rPr>
          <w:i/>
        </w:rPr>
      </w:pPr>
    </w:p>
    <w:p w14:paraId="1F3746C6" w14:textId="77777777" w:rsidR="00786331" w:rsidRDefault="00786331">
      <w:pPr>
        <w:jc w:val="both"/>
      </w:pPr>
    </w:p>
    <w:p w14:paraId="1F3746C7" w14:textId="77777777" w:rsidR="00786331" w:rsidRPr="00DD6780" w:rsidRDefault="002B2CC0">
      <w:pPr>
        <w:pBdr>
          <w:top w:val="dotted" w:sz="4" w:space="1" w:color="808080"/>
          <w:bottom w:val="dotted" w:sz="4" w:space="1" w:color="808080"/>
        </w:pBdr>
        <w:shd w:val="clear" w:color="auto" w:fill="D0CECE"/>
        <w:spacing w:after="160" w:line="259" w:lineRule="auto"/>
        <w:jc w:val="both"/>
        <w:rPr>
          <w:b/>
          <w:sz w:val="28"/>
          <w:szCs w:val="28"/>
        </w:rPr>
      </w:pPr>
      <w:r w:rsidRPr="00DD6780">
        <w:rPr>
          <w:b/>
          <w:sz w:val="28"/>
          <w:szCs w:val="28"/>
        </w:rPr>
        <w:t xml:space="preserve">A622122 Programsko financiranje javnih visokih učilišta </w:t>
      </w:r>
    </w:p>
    <w:p w14:paraId="1F3746C8" w14:textId="77777777" w:rsidR="00786331" w:rsidRPr="00DD6780" w:rsidRDefault="002B2CC0">
      <w:pPr>
        <w:jc w:val="both"/>
        <w:rPr>
          <w:i/>
        </w:rPr>
      </w:pPr>
      <w:r w:rsidRPr="00DD6780">
        <w:rPr>
          <w:i/>
        </w:rPr>
        <w:t>Zakonske i druge pravne osnove</w:t>
      </w:r>
    </w:p>
    <w:p w14:paraId="1F3746C9" w14:textId="77777777" w:rsidR="00786331" w:rsidRPr="00DD6780" w:rsidRDefault="002B2C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DD6780">
        <w:t xml:space="preserve">Zakon o znanstvenoj djelatnosti i visokom obrazovanju </w:t>
      </w:r>
    </w:p>
    <w:p w14:paraId="1F3746CA" w14:textId="0032E49C" w:rsidR="00786331" w:rsidRPr="00DD6780" w:rsidRDefault="002B2C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DD6780">
        <w:t>Odluka o programskom financiranju javnih visokih učilišta u Republici Hrvatskoj u akademskim godinama 20</w:t>
      </w:r>
      <w:r w:rsidR="00501077" w:rsidRPr="00DD6780">
        <w:t>21</w:t>
      </w:r>
      <w:r w:rsidRPr="00DD6780">
        <w:t>./202</w:t>
      </w:r>
      <w:r w:rsidR="00501077" w:rsidRPr="00DD6780">
        <w:t>2</w:t>
      </w:r>
      <w:r w:rsidRPr="00DD6780">
        <w:t>., 202</w:t>
      </w:r>
      <w:r w:rsidR="00501077" w:rsidRPr="00DD6780">
        <w:t>2</w:t>
      </w:r>
      <w:r w:rsidRPr="00DD6780">
        <w:t>./202</w:t>
      </w:r>
      <w:r w:rsidR="00501077" w:rsidRPr="00DD6780">
        <w:t>3</w:t>
      </w:r>
      <w:r w:rsidRPr="00DD6780">
        <w:t>. i 202</w:t>
      </w:r>
      <w:r w:rsidR="00501077" w:rsidRPr="00DD6780">
        <w:t>3</w:t>
      </w:r>
      <w:r w:rsidRPr="00DD6780">
        <w:t>./202</w:t>
      </w:r>
      <w:r w:rsidR="00501077" w:rsidRPr="00DD6780">
        <w:t>4</w:t>
      </w:r>
      <w:r w:rsidRPr="00DD6780">
        <w:t xml:space="preserve">. </w:t>
      </w:r>
    </w:p>
    <w:p w14:paraId="1F3746CB" w14:textId="77777777" w:rsidR="00786331" w:rsidRPr="00DD6780" w:rsidRDefault="002B2C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DD6780">
        <w:t xml:space="preserve">Zakon o osiguravanju kvalitete u znanosti i visokom obrazovanju </w:t>
      </w:r>
    </w:p>
    <w:p w14:paraId="1F3746CC" w14:textId="77777777" w:rsidR="00786331" w:rsidRDefault="00786331">
      <w:pPr>
        <w:jc w:val="both"/>
        <w:rPr>
          <w:i/>
        </w:rPr>
      </w:pPr>
    </w:p>
    <w:tbl>
      <w:tblPr>
        <w:tblStyle w:val="a0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9"/>
        <w:gridCol w:w="75"/>
        <w:gridCol w:w="1219"/>
        <w:gridCol w:w="1294"/>
        <w:gridCol w:w="1294"/>
        <w:gridCol w:w="1294"/>
        <w:gridCol w:w="1294"/>
        <w:gridCol w:w="1073"/>
      </w:tblGrid>
      <w:tr w:rsidR="00786331" w14:paraId="1F3746D5" w14:textId="77777777">
        <w:tc>
          <w:tcPr>
            <w:tcW w:w="1523" w:type="dxa"/>
            <w:shd w:val="clear" w:color="auto" w:fill="D0CECE"/>
          </w:tcPr>
          <w:p w14:paraId="1F3746CD" w14:textId="77777777" w:rsidR="00786331" w:rsidRDefault="00786331">
            <w:pPr>
              <w:jc w:val="both"/>
            </w:pPr>
          </w:p>
          <w:p w14:paraId="1F3746CE" w14:textId="77777777" w:rsidR="00786331" w:rsidRDefault="00786331">
            <w:pPr>
              <w:jc w:val="both"/>
            </w:pPr>
          </w:p>
        </w:tc>
        <w:tc>
          <w:tcPr>
            <w:tcW w:w="1296" w:type="dxa"/>
            <w:gridSpan w:val="2"/>
            <w:shd w:val="clear" w:color="auto" w:fill="D0CECE"/>
            <w:vAlign w:val="center"/>
          </w:tcPr>
          <w:p w14:paraId="1F3746CF" w14:textId="2BA5FF37" w:rsidR="00786331" w:rsidRDefault="002B2CC0" w:rsidP="00542B9A">
            <w:pPr>
              <w:jc w:val="center"/>
            </w:pPr>
            <w:r>
              <w:t xml:space="preserve">Izvršenje </w:t>
            </w:r>
            <w:r w:rsidR="00542B9A">
              <w:t>2023.</w:t>
            </w:r>
            <w:r>
              <w:t>.</w:t>
            </w:r>
          </w:p>
        </w:tc>
        <w:tc>
          <w:tcPr>
            <w:tcW w:w="1296" w:type="dxa"/>
            <w:shd w:val="clear" w:color="auto" w:fill="D0CECE"/>
            <w:vAlign w:val="center"/>
          </w:tcPr>
          <w:p w14:paraId="1F3746D0" w14:textId="23DB49DD" w:rsidR="00786331" w:rsidRDefault="002B2CC0" w:rsidP="00542B9A">
            <w:pPr>
              <w:jc w:val="center"/>
            </w:pPr>
            <w:r>
              <w:t>Plan 202</w:t>
            </w:r>
            <w:r w:rsidR="00542B9A">
              <w:t>4</w:t>
            </w:r>
            <w:r>
              <w:t>.</w:t>
            </w:r>
          </w:p>
        </w:tc>
        <w:tc>
          <w:tcPr>
            <w:tcW w:w="1296" w:type="dxa"/>
            <w:shd w:val="clear" w:color="auto" w:fill="D0CECE"/>
            <w:vAlign w:val="center"/>
          </w:tcPr>
          <w:p w14:paraId="1F3746D1" w14:textId="505419FB" w:rsidR="00786331" w:rsidRDefault="002B2CC0" w:rsidP="00542B9A">
            <w:pPr>
              <w:jc w:val="center"/>
            </w:pPr>
            <w:r>
              <w:t>Plan 202</w:t>
            </w:r>
            <w:r w:rsidR="00542B9A">
              <w:t>5</w:t>
            </w:r>
            <w:r>
              <w:t>.</w:t>
            </w:r>
          </w:p>
        </w:tc>
        <w:tc>
          <w:tcPr>
            <w:tcW w:w="1296" w:type="dxa"/>
            <w:shd w:val="clear" w:color="auto" w:fill="D0CECE"/>
            <w:vAlign w:val="center"/>
          </w:tcPr>
          <w:p w14:paraId="1F3746D2" w14:textId="4CB2BF7C" w:rsidR="00786331" w:rsidRDefault="002B2CC0" w:rsidP="00542B9A">
            <w:pPr>
              <w:jc w:val="center"/>
            </w:pPr>
            <w:r>
              <w:t>Plan 202</w:t>
            </w:r>
            <w:r w:rsidR="00542B9A">
              <w:t>6</w:t>
            </w:r>
            <w:r>
              <w:t>.</w:t>
            </w:r>
          </w:p>
        </w:tc>
        <w:tc>
          <w:tcPr>
            <w:tcW w:w="1296" w:type="dxa"/>
            <w:shd w:val="clear" w:color="auto" w:fill="D0CECE"/>
            <w:vAlign w:val="center"/>
          </w:tcPr>
          <w:p w14:paraId="1F3746D3" w14:textId="4F5D0DBE" w:rsidR="00786331" w:rsidRDefault="002B2CC0" w:rsidP="00542B9A">
            <w:pPr>
              <w:jc w:val="center"/>
            </w:pPr>
            <w:r>
              <w:t>Plan 202</w:t>
            </w:r>
            <w:r w:rsidR="00542B9A">
              <w:t>7</w:t>
            </w:r>
            <w:r>
              <w:t>.</w:t>
            </w:r>
          </w:p>
        </w:tc>
        <w:tc>
          <w:tcPr>
            <w:tcW w:w="1059" w:type="dxa"/>
            <w:shd w:val="clear" w:color="auto" w:fill="D0CECE"/>
            <w:vAlign w:val="center"/>
          </w:tcPr>
          <w:p w14:paraId="1F3746D4" w14:textId="07E0F4D7" w:rsidR="00786331" w:rsidRDefault="002B2CC0" w:rsidP="00542B9A">
            <w:pPr>
              <w:jc w:val="center"/>
            </w:pPr>
            <w:r>
              <w:t>Indeks 2</w:t>
            </w:r>
            <w:r w:rsidR="00542B9A">
              <w:t>5</w:t>
            </w:r>
            <w:r>
              <w:t>./2</w:t>
            </w:r>
            <w:r w:rsidR="00542B9A">
              <w:t>4</w:t>
            </w:r>
            <w:r>
              <w:t>.</w:t>
            </w:r>
          </w:p>
        </w:tc>
      </w:tr>
      <w:tr w:rsidR="00786331" w14:paraId="1F3746DE" w14:textId="77777777">
        <w:tc>
          <w:tcPr>
            <w:tcW w:w="1598" w:type="dxa"/>
            <w:gridSpan w:val="2"/>
          </w:tcPr>
          <w:p w14:paraId="1F3746D6" w14:textId="77777777" w:rsidR="00786331" w:rsidRDefault="002B2CC0">
            <w:r>
              <w:t>A622122</w:t>
            </w:r>
          </w:p>
          <w:p w14:paraId="1F3746D7" w14:textId="77777777" w:rsidR="00786331" w:rsidRDefault="002B2CC0">
            <w:r>
              <w:t xml:space="preserve">Programsko financiranje javnih visokih učilišta </w:t>
            </w:r>
          </w:p>
        </w:tc>
        <w:tc>
          <w:tcPr>
            <w:tcW w:w="1205" w:type="dxa"/>
            <w:shd w:val="clear" w:color="auto" w:fill="auto"/>
          </w:tcPr>
          <w:p w14:paraId="1BC0C4F2" w14:textId="5012E8DA" w:rsidR="00A30EE1" w:rsidRPr="00A30EE1" w:rsidRDefault="00542B9A" w:rsidP="00A30E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550.303</w:t>
            </w:r>
          </w:p>
          <w:p w14:paraId="1F3746D8" w14:textId="05687809" w:rsidR="00786331" w:rsidRPr="00A30EE1" w:rsidRDefault="00786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14:paraId="764D10B9" w14:textId="756A952D" w:rsidR="00A30EE1" w:rsidRPr="00A30EE1" w:rsidRDefault="00542B9A" w:rsidP="00A30E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958.642</w:t>
            </w:r>
          </w:p>
          <w:p w14:paraId="1F3746D9" w14:textId="13D1AD37" w:rsidR="00786331" w:rsidRPr="00A30EE1" w:rsidRDefault="00786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14:paraId="73097E5E" w14:textId="463BC9AF" w:rsidR="00A30EE1" w:rsidRPr="00A30EE1" w:rsidRDefault="00542B9A" w:rsidP="00A30E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E078AD">
              <w:rPr>
                <w:rFonts w:ascii="Arial" w:hAnsi="Arial" w:cs="Arial"/>
                <w:b/>
                <w:bCs/>
                <w:sz w:val="20"/>
                <w:szCs w:val="20"/>
              </w:rPr>
              <w:t>55.100</w:t>
            </w:r>
          </w:p>
          <w:p w14:paraId="1F3746DA" w14:textId="6DEED671" w:rsidR="00786331" w:rsidRPr="00A30EE1" w:rsidRDefault="00786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14:paraId="2CACDB72" w14:textId="5D85EBBC" w:rsidR="00A30EE1" w:rsidRPr="00A30EE1" w:rsidRDefault="00542B9A" w:rsidP="00A30E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E078AD">
              <w:rPr>
                <w:rFonts w:ascii="Arial" w:hAnsi="Arial" w:cs="Arial"/>
                <w:b/>
                <w:bCs/>
                <w:sz w:val="20"/>
                <w:szCs w:val="20"/>
              </w:rPr>
              <w:t>85.601</w:t>
            </w:r>
          </w:p>
          <w:p w14:paraId="1F3746DB" w14:textId="7EA5A77B" w:rsidR="00786331" w:rsidRPr="00A30EE1" w:rsidRDefault="00786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14:paraId="51CB5852" w14:textId="63813CB5" w:rsidR="00A30EE1" w:rsidRPr="00A30EE1" w:rsidRDefault="00542B9A" w:rsidP="00A30E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E078AD">
              <w:rPr>
                <w:rFonts w:ascii="Arial" w:hAnsi="Arial" w:cs="Arial"/>
                <w:b/>
                <w:bCs/>
                <w:sz w:val="20"/>
                <w:szCs w:val="20"/>
              </w:rPr>
              <w:t>85.758</w:t>
            </w:r>
          </w:p>
          <w:p w14:paraId="1F3746DC" w14:textId="34171265" w:rsidR="00786331" w:rsidRPr="00A30EE1" w:rsidRDefault="00786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3B76CC15" w14:textId="5AD09142" w:rsidR="00DF2801" w:rsidRDefault="00542B9A" w:rsidP="00DF28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DF2801">
              <w:rPr>
                <w:rFonts w:ascii="Arial" w:hAnsi="Arial" w:cs="Arial"/>
                <w:b/>
                <w:bCs/>
                <w:sz w:val="20"/>
                <w:szCs w:val="20"/>
              </w:rPr>
              <w:t>9,6</w:t>
            </w:r>
          </w:p>
          <w:p w14:paraId="1F3746DD" w14:textId="4FEC9486" w:rsidR="00983D20" w:rsidRPr="00A30EE1" w:rsidRDefault="00983D20" w:rsidP="004034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F3746DF" w14:textId="31975129" w:rsidR="00786331" w:rsidRDefault="00786331">
      <w:pPr>
        <w:jc w:val="both"/>
        <w:rPr>
          <w:i/>
        </w:rPr>
      </w:pPr>
    </w:p>
    <w:p w14:paraId="1514EA34" w14:textId="77777777" w:rsidR="00A30EE1" w:rsidRDefault="00A30EE1">
      <w:pPr>
        <w:jc w:val="both"/>
        <w:rPr>
          <w:i/>
        </w:rPr>
      </w:pPr>
    </w:p>
    <w:p w14:paraId="12349364" w14:textId="77777777" w:rsidR="00A30EE1" w:rsidRDefault="00A30EE1">
      <w:pPr>
        <w:jc w:val="both"/>
        <w:rPr>
          <w:i/>
        </w:rPr>
      </w:pPr>
    </w:p>
    <w:p w14:paraId="5919AD79" w14:textId="77777777" w:rsidR="00A30EE1" w:rsidRDefault="00A30EE1">
      <w:pPr>
        <w:jc w:val="both"/>
        <w:rPr>
          <w:i/>
        </w:rPr>
      </w:pPr>
    </w:p>
    <w:p w14:paraId="0C4E1F40" w14:textId="77777777" w:rsidR="00A30EE1" w:rsidRDefault="00A30EE1">
      <w:pPr>
        <w:jc w:val="both"/>
        <w:rPr>
          <w:i/>
        </w:rPr>
      </w:pPr>
    </w:p>
    <w:p w14:paraId="1F3746E2" w14:textId="4920D9BE" w:rsidR="00786331" w:rsidRDefault="002B2CC0">
      <w:pPr>
        <w:jc w:val="both"/>
        <w:rPr>
          <w:i/>
        </w:rPr>
      </w:pPr>
      <w:r>
        <w:rPr>
          <w:i/>
        </w:rPr>
        <w:t>.</w:t>
      </w:r>
    </w:p>
    <w:p w14:paraId="1F3746E3" w14:textId="77777777" w:rsidR="00786331" w:rsidRDefault="002B2CC0">
      <w:pPr>
        <w:jc w:val="both"/>
        <w:rPr>
          <w:i/>
        </w:rPr>
      </w:pPr>
      <w:r>
        <w:rPr>
          <w:i/>
        </w:rPr>
        <w:lastRenderedPageBreak/>
        <w:t>Nastavno su prikazani institucijski ciljevi i rezultati koji su predviđeni Programskim ugovorom u predstojećem planskom razdoblju programskog financiranja.</w:t>
      </w:r>
    </w:p>
    <w:p w14:paraId="1F3746E4" w14:textId="77777777" w:rsidR="00786331" w:rsidRDefault="00786331">
      <w:pPr>
        <w:jc w:val="both"/>
        <w:rPr>
          <w:i/>
        </w:rPr>
      </w:pPr>
      <w:bookmarkStart w:id="1" w:name="_heading=h.30j0zll" w:colFirst="0" w:colLast="0"/>
      <w:bookmarkEnd w:id="1"/>
    </w:p>
    <w:tbl>
      <w:tblPr>
        <w:tblStyle w:val="a1"/>
        <w:tblW w:w="991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604"/>
        <w:gridCol w:w="1350"/>
        <w:gridCol w:w="1080"/>
        <w:gridCol w:w="1260"/>
        <w:gridCol w:w="1080"/>
        <w:gridCol w:w="990"/>
        <w:gridCol w:w="990"/>
      </w:tblGrid>
      <w:tr w:rsidR="00786331" w14:paraId="1F3746ED" w14:textId="77777777" w:rsidTr="00944CD4">
        <w:tc>
          <w:tcPr>
            <w:tcW w:w="1560" w:type="dxa"/>
            <w:shd w:val="clear" w:color="auto" w:fill="D0CECE"/>
            <w:vAlign w:val="center"/>
          </w:tcPr>
          <w:p w14:paraId="1F3746E5" w14:textId="77777777" w:rsidR="00786331" w:rsidRPr="00A30EE1" w:rsidRDefault="002B2CC0">
            <w:pPr>
              <w:jc w:val="both"/>
            </w:pPr>
            <w:r w:rsidRPr="00A30EE1">
              <w:t>Pokazatelj rezultata</w:t>
            </w:r>
          </w:p>
        </w:tc>
        <w:tc>
          <w:tcPr>
            <w:tcW w:w="1604" w:type="dxa"/>
            <w:shd w:val="clear" w:color="auto" w:fill="D0CECE"/>
            <w:vAlign w:val="center"/>
          </w:tcPr>
          <w:p w14:paraId="1F3746E6" w14:textId="77777777" w:rsidR="00786331" w:rsidRPr="00A30EE1" w:rsidRDefault="002B2CC0">
            <w:pPr>
              <w:jc w:val="both"/>
            </w:pPr>
            <w:r w:rsidRPr="00A30EE1">
              <w:t>Definicija</w:t>
            </w:r>
          </w:p>
        </w:tc>
        <w:tc>
          <w:tcPr>
            <w:tcW w:w="1350" w:type="dxa"/>
            <w:shd w:val="clear" w:color="auto" w:fill="D0CECE"/>
            <w:vAlign w:val="center"/>
          </w:tcPr>
          <w:p w14:paraId="1F3746E7" w14:textId="77777777" w:rsidR="00786331" w:rsidRPr="00A30EE1" w:rsidRDefault="002B2CC0">
            <w:pPr>
              <w:jc w:val="both"/>
            </w:pPr>
            <w:r w:rsidRPr="00A30EE1">
              <w:t>Jedinica</w:t>
            </w:r>
          </w:p>
        </w:tc>
        <w:tc>
          <w:tcPr>
            <w:tcW w:w="1080" w:type="dxa"/>
            <w:shd w:val="clear" w:color="auto" w:fill="D0CECE"/>
            <w:vAlign w:val="center"/>
          </w:tcPr>
          <w:p w14:paraId="1F3746E8" w14:textId="77777777" w:rsidR="00786331" w:rsidRPr="00A30EE1" w:rsidRDefault="002B2CC0">
            <w:pPr>
              <w:jc w:val="both"/>
            </w:pPr>
            <w:r w:rsidRPr="00A30EE1">
              <w:t>Polazna vrijednost</w:t>
            </w:r>
          </w:p>
        </w:tc>
        <w:tc>
          <w:tcPr>
            <w:tcW w:w="1260" w:type="dxa"/>
            <w:shd w:val="clear" w:color="auto" w:fill="D0CECE"/>
            <w:vAlign w:val="center"/>
          </w:tcPr>
          <w:p w14:paraId="1F3746E9" w14:textId="77777777" w:rsidR="00786331" w:rsidRPr="00A30EE1" w:rsidRDefault="002B2CC0">
            <w:pPr>
              <w:jc w:val="both"/>
            </w:pPr>
            <w:r w:rsidRPr="00A30EE1">
              <w:t>Izvor podataka</w:t>
            </w:r>
          </w:p>
        </w:tc>
        <w:tc>
          <w:tcPr>
            <w:tcW w:w="1080" w:type="dxa"/>
            <w:shd w:val="clear" w:color="auto" w:fill="D0CECE"/>
            <w:vAlign w:val="center"/>
          </w:tcPr>
          <w:p w14:paraId="1F3746EA" w14:textId="6274EA36" w:rsidR="00786331" w:rsidRPr="00A30EE1" w:rsidRDefault="002B2CC0">
            <w:pPr>
              <w:jc w:val="both"/>
            </w:pPr>
            <w:r w:rsidRPr="00A30EE1">
              <w:t>Ciljana vrijednost za 202</w:t>
            </w:r>
            <w:r w:rsidR="00006808">
              <w:t>5</w:t>
            </w:r>
            <w:r w:rsidRPr="00A30EE1">
              <w:t>.</w:t>
            </w:r>
          </w:p>
        </w:tc>
        <w:tc>
          <w:tcPr>
            <w:tcW w:w="990" w:type="dxa"/>
            <w:shd w:val="clear" w:color="auto" w:fill="D0CECE"/>
          </w:tcPr>
          <w:p w14:paraId="1F3746EB" w14:textId="21DF785A" w:rsidR="00786331" w:rsidRPr="00A30EE1" w:rsidRDefault="002B2CC0">
            <w:pPr>
              <w:jc w:val="both"/>
            </w:pPr>
            <w:r w:rsidRPr="00A30EE1">
              <w:t>Ciljana vrijednost za 202</w:t>
            </w:r>
            <w:r w:rsidR="00006808">
              <w:t>6</w:t>
            </w:r>
            <w:r w:rsidRPr="00A30EE1">
              <w:t>.</w:t>
            </w:r>
          </w:p>
        </w:tc>
        <w:tc>
          <w:tcPr>
            <w:tcW w:w="990" w:type="dxa"/>
            <w:shd w:val="clear" w:color="auto" w:fill="D0CECE"/>
          </w:tcPr>
          <w:p w14:paraId="1F3746EC" w14:textId="777B5B56" w:rsidR="00786331" w:rsidRPr="00A30EE1" w:rsidRDefault="002B2CC0">
            <w:pPr>
              <w:jc w:val="both"/>
            </w:pPr>
            <w:r w:rsidRPr="00A30EE1">
              <w:t>Ciljana vrijednost za 202</w:t>
            </w:r>
            <w:r w:rsidR="00006808">
              <w:t>7</w:t>
            </w:r>
            <w:r w:rsidRPr="00A30EE1">
              <w:t>.</w:t>
            </w:r>
          </w:p>
        </w:tc>
      </w:tr>
      <w:tr w:rsidR="006A7017" w14:paraId="1F3746F6" w14:textId="77777777" w:rsidTr="00757A35"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3746EE" w14:textId="77777777" w:rsidR="006A7017" w:rsidRPr="00A30EE1" w:rsidRDefault="006A7017" w:rsidP="006A7017">
            <w:pPr>
              <w:jc w:val="both"/>
              <w:rPr>
                <w:i/>
              </w:rPr>
            </w:pPr>
            <w:r w:rsidRPr="00A30EE1">
              <w:rPr>
                <w:i/>
              </w:rPr>
              <w:t>Broj studenata preddiplomskih studija koji su u prethodnoj akademskoj godini stekli minimalno 55 ECTS bodova</w:t>
            </w:r>
          </w:p>
        </w:tc>
        <w:tc>
          <w:tcPr>
            <w:tcW w:w="160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3746EF" w14:textId="77777777" w:rsidR="006A7017" w:rsidRPr="00A30EE1" w:rsidRDefault="006A7017" w:rsidP="006A7017">
            <w:pPr>
              <w:rPr>
                <w:i/>
              </w:rPr>
            </w:pPr>
            <w:r w:rsidRPr="00A30EE1">
              <w:rPr>
                <w:i/>
              </w:rPr>
              <w:t>Uspješnost studiranja na preddiplomskim studijima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3746F0" w14:textId="77777777" w:rsidR="006A7017" w:rsidRPr="00A30EE1" w:rsidRDefault="006A7017" w:rsidP="006A7017">
            <w:pPr>
              <w:jc w:val="both"/>
              <w:rPr>
                <w:i/>
              </w:rPr>
            </w:pPr>
            <w:r w:rsidRPr="00A30EE1">
              <w:rPr>
                <w:i/>
              </w:rPr>
              <w:t>broj osoba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746F1" w14:textId="443D3CA3" w:rsidR="006A7017" w:rsidRPr="00A30EE1" w:rsidRDefault="006A7017" w:rsidP="00DD60B7">
            <w:pPr>
              <w:jc w:val="center"/>
              <w:rPr>
                <w:i/>
              </w:rPr>
            </w:pPr>
            <w:r w:rsidRPr="00A30EE1">
              <w:rPr>
                <w:i/>
              </w:rPr>
              <w:t>333</w:t>
            </w:r>
            <w:r w:rsidR="00DD60B7" w:rsidRPr="00A30EE1">
              <w:rPr>
                <w:i/>
              </w:rPr>
              <w:t>*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3746F2" w14:textId="77777777" w:rsidR="006A7017" w:rsidRPr="00A30EE1" w:rsidRDefault="006A7017" w:rsidP="006A7017">
            <w:pPr>
              <w:jc w:val="both"/>
              <w:rPr>
                <w:i/>
              </w:rPr>
            </w:pPr>
            <w:r w:rsidRPr="00A30EE1">
              <w:rPr>
                <w:i/>
              </w:rPr>
              <w:t>Studentska služba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3746F3" w14:textId="36AC16D5" w:rsidR="006A7017" w:rsidRPr="00A30EE1" w:rsidRDefault="006A7017" w:rsidP="006A7017">
            <w:pPr>
              <w:jc w:val="both"/>
              <w:rPr>
                <w:i/>
              </w:rPr>
            </w:pPr>
            <w:r w:rsidRPr="00A30EE1">
              <w:rPr>
                <w:i/>
              </w:rPr>
              <w:t>3</w:t>
            </w:r>
            <w:r w:rsidR="00DD60B7" w:rsidRPr="00A30EE1">
              <w:rPr>
                <w:i/>
              </w:rPr>
              <w:t>35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3746F4" w14:textId="7547964C" w:rsidR="006A7017" w:rsidRPr="00A30EE1" w:rsidRDefault="00DD60B7" w:rsidP="006A7017">
            <w:pPr>
              <w:jc w:val="both"/>
              <w:rPr>
                <w:i/>
              </w:rPr>
            </w:pPr>
            <w:r w:rsidRPr="00A30EE1">
              <w:rPr>
                <w:i/>
              </w:rPr>
              <w:t>340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3746F5" w14:textId="3EFD4B74" w:rsidR="006A7017" w:rsidRPr="00A30EE1" w:rsidRDefault="006A7017" w:rsidP="006A7017">
            <w:pPr>
              <w:jc w:val="both"/>
              <w:rPr>
                <w:i/>
              </w:rPr>
            </w:pPr>
            <w:r w:rsidRPr="00A30EE1">
              <w:rPr>
                <w:i/>
              </w:rPr>
              <w:t>3</w:t>
            </w:r>
            <w:r w:rsidR="00DD60B7" w:rsidRPr="00A30EE1">
              <w:rPr>
                <w:i/>
              </w:rPr>
              <w:t>45</w:t>
            </w:r>
          </w:p>
        </w:tc>
      </w:tr>
      <w:tr w:rsidR="006A7017" w14:paraId="1F3746FF" w14:textId="77777777" w:rsidTr="00757A35"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3746F7" w14:textId="77777777" w:rsidR="006A7017" w:rsidRPr="00A30EE1" w:rsidRDefault="006A7017" w:rsidP="006A7017">
            <w:pPr>
              <w:jc w:val="both"/>
              <w:rPr>
                <w:i/>
              </w:rPr>
            </w:pPr>
            <w:r w:rsidRPr="00A30EE1">
              <w:rPr>
                <w:i/>
              </w:rPr>
              <w:t>Broj studenata diplomskih studija koji su u prethodnoj akademskoj godini stekli minimalno 55 ECTS bodova</w:t>
            </w:r>
          </w:p>
        </w:tc>
        <w:tc>
          <w:tcPr>
            <w:tcW w:w="160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3746F8" w14:textId="77777777" w:rsidR="006A7017" w:rsidRPr="00A30EE1" w:rsidRDefault="006A7017" w:rsidP="006A7017">
            <w:pPr>
              <w:rPr>
                <w:i/>
              </w:rPr>
            </w:pPr>
            <w:r w:rsidRPr="00A30EE1">
              <w:rPr>
                <w:i/>
              </w:rPr>
              <w:t>Uspješnost studiranja na diplomskim studijima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3746F9" w14:textId="77777777" w:rsidR="006A7017" w:rsidRPr="00A30EE1" w:rsidRDefault="006A7017" w:rsidP="006A7017">
            <w:pPr>
              <w:jc w:val="both"/>
              <w:rPr>
                <w:i/>
              </w:rPr>
            </w:pPr>
            <w:r w:rsidRPr="00A30EE1">
              <w:rPr>
                <w:i/>
              </w:rPr>
              <w:t>broj osoba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746FA" w14:textId="0841C457" w:rsidR="006A7017" w:rsidRPr="00A30EE1" w:rsidRDefault="00006808" w:rsidP="00DD60B7">
            <w:pPr>
              <w:jc w:val="center"/>
              <w:rPr>
                <w:i/>
              </w:rPr>
            </w:pPr>
            <w:r>
              <w:rPr>
                <w:i/>
              </w:rPr>
              <w:t>148</w:t>
            </w:r>
            <w:r w:rsidR="00DD60B7" w:rsidRPr="00A30EE1">
              <w:rPr>
                <w:i/>
              </w:rPr>
              <w:t>*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3746FB" w14:textId="77777777" w:rsidR="006A7017" w:rsidRPr="00A30EE1" w:rsidRDefault="006A7017" w:rsidP="006A7017">
            <w:pPr>
              <w:jc w:val="both"/>
              <w:rPr>
                <w:i/>
              </w:rPr>
            </w:pPr>
            <w:r w:rsidRPr="00A30EE1">
              <w:rPr>
                <w:i/>
              </w:rPr>
              <w:t>Studentska služba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3746FC" w14:textId="0BF2BA31" w:rsidR="006A7017" w:rsidRPr="00A30EE1" w:rsidRDefault="00006808" w:rsidP="006A7017">
            <w:pPr>
              <w:jc w:val="both"/>
              <w:rPr>
                <w:i/>
              </w:rPr>
            </w:pPr>
            <w:r>
              <w:rPr>
                <w:i/>
              </w:rPr>
              <w:t>160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3746FD" w14:textId="2D59828F" w:rsidR="006A7017" w:rsidRPr="00A30EE1" w:rsidRDefault="00006808" w:rsidP="006A7017">
            <w:pPr>
              <w:jc w:val="both"/>
              <w:rPr>
                <w:i/>
              </w:rPr>
            </w:pPr>
            <w:r>
              <w:rPr>
                <w:i/>
              </w:rPr>
              <w:t>180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3746FE" w14:textId="35B6F141" w:rsidR="006A7017" w:rsidRPr="00A30EE1" w:rsidRDefault="00DD60B7" w:rsidP="006A7017">
            <w:pPr>
              <w:jc w:val="both"/>
              <w:rPr>
                <w:i/>
              </w:rPr>
            </w:pPr>
            <w:r w:rsidRPr="00A30EE1">
              <w:rPr>
                <w:i/>
              </w:rPr>
              <w:t>2</w:t>
            </w:r>
            <w:r w:rsidR="00006808">
              <w:rPr>
                <w:i/>
              </w:rPr>
              <w:t>00</w:t>
            </w:r>
          </w:p>
        </w:tc>
      </w:tr>
      <w:tr w:rsidR="006A7017" w14:paraId="1F374708" w14:textId="77777777" w:rsidTr="00757A35"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374700" w14:textId="77777777" w:rsidR="006A7017" w:rsidRPr="00A30EE1" w:rsidRDefault="006A7017" w:rsidP="006A7017">
            <w:pPr>
              <w:jc w:val="both"/>
              <w:rPr>
                <w:i/>
              </w:rPr>
            </w:pPr>
            <w:r w:rsidRPr="00A30EE1">
              <w:rPr>
                <w:i/>
              </w:rPr>
              <w:t>Omjer broja završenih studenata u akademskoj godini i broja studenata preddiplomskih studija upisanih u prvu godinu te akademske godine</w:t>
            </w:r>
          </w:p>
        </w:tc>
        <w:tc>
          <w:tcPr>
            <w:tcW w:w="160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374701" w14:textId="77777777" w:rsidR="006A7017" w:rsidRPr="00A30EE1" w:rsidRDefault="006A7017" w:rsidP="006A7017">
            <w:pPr>
              <w:rPr>
                <w:i/>
              </w:rPr>
            </w:pPr>
            <w:r w:rsidRPr="00A30EE1">
              <w:rPr>
                <w:i/>
              </w:rPr>
              <w:t>Efikasnost studiranja na preddiplomskim studijima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374702" w14:textId="77777777" w:rsidR="006A7017" w:rsidRPr="00A30EE1" w:rsidRDefault="006A7017" w:rsidP="006A7017">
            <w:pPr>
              <w:jc w:val="both"/>
              <w:rPr>
                <w:i/>
              </w:rPr>
            </w:pPr>
            <w:r w:rsidRPr="00A30EE1">
              <w:rPr>
                <w:i/>
              </w:rPr>
              <w:t>postotak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74703" w14:textId="761647BE" w:rsidR="006A7017" w:rsidRPr="00A30EE1" w:rsidRDefault="00006808" w:rsidP="00DD60B7">
            <w:pPr>
              <w:jc w:val="center"/>
              <w:rPr>
                <w:i/>
              </w:rPr>
            </w:pPr>
            <w:r>
              <w:rPr>
                <w:i/>
              </w:rPr>
              <w:t>47</w:t>
            </w:r>
            <w:r w:rsidR="006A7017" w:rsidRPr="00A30EE1">
              <w:rPr>
                <w:i/>
              </w:rPr>
              <w:t>,</w:t>
            </w:r>
            <w:r>
              <w:rPr>
                <w:i/>
              </w:rPr>
              <w:t>4</w:t>
            </w:r>
            <w:r w:rsidR="006A7017" w:rsidRPr="00A30EE1">
              <w:rPr>
                <w:i/>
              </w:rPr>
              <w:t>%*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374704" w14:textId="77777777" w:rsidR="006A7017" w:rsidRPr="00A30EE1" w:rsidRDefault="006A7017" w:rsidP="006A7017">
            <w:pPr>
              <w:jc w:val="both"/>
              <w:rPr>
                <w:i/>
              </w:rPr>
            </w:pPr>
            <w:r w:rsidRPr="00A30EE1">
              <w:rPr>
                <w:i/>
              </w:rPr>
              <w:t>Studentska služba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374705" w14:textId="408FDEA6" w:rsidR="006A7017" w:rsidRPr="00A30EE1" w:rsidRDefault="00DD60B7" w:rsidP="006A7017">
            <w:pPr>
              <w:jc w:val="both"/>
              <w:rPr>
                <w:i/>
              </w:rPr>
            </w:pPr>
            <w:r w:rsidRPr="00A30EE1">
              <w:rPr>
                <w:i/>
              </w:rPr>
              <w:t>5</w:t>
            </w:r>
            <w:r w:rsidR="00006808">
              <w:rPr>
                <w:i/>
              </w:rPr>
              <w:t>0</w:t>
            </w:r>
            <w:r w:rsidR="006A7017" w:rsidRPr="00A30EE1">
              <w:rPr>
                <w:i/>
              </w:rPr>
              <w:t>%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374706" w14:textId="1CB6CC2D" w:rsidR="006A7017" w:rsidRPr="00A30EE1" w:rsidRDefault="00DD60B7" w:rsidP="006A7017">
            <w:pPr>
              <w:jc w:val="both"/>
              <w:rPr>
                <w:i/>
              </w:rPr>
            </w:pPr>
            <w:r w:rsidRPr="00A30EE1">
              <w:rPr>
                <w:i/>
              </w:rPr>
              <w:t>5</w:t>
            </w:r>
            <w:r w:rsidR="00006808">
              <w:rPr>
                <w:i/>
              </w:rPr>
              <w:t>2</w:t>
            </w:r>
            <w:r w:rsidR="006A7017" w:rsidRPr="00A30EE1">
              <w:rPr>
                <w:i/>
              </w:rPr>
              <w:t>%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374707" w14:textId="07A90EE4" w:rsidR="006A7017" w:rsidRPr="00A30EE1" w:rsidRDefault="00DD60B7" w:rsidP="006A7017">
            <w:pPr>
              <w:jc w:val="both"/>
              <w:rPr>
                <w:i/>
              </w:rPr>
            </w:pPr>
            <w:r w:rsidRPr="00A30EE1">
              <w:rPr>
                <w:i/>
              </w:rPr>
              <w:t>5</w:t>
            </w:r>
            <w:r w:rsidR="00006808">
              <w:rPr>
                <w:i/>
              </w:rPr>
              <w:t>4</w:t>
            </w:r>
            <w:r w:rsidR="006A7017" w:rsidRPr="00A30EE1">
              <w:rPr>
                <w:i/>
              </w:rPr>
              <w:t>%</w:t>
            </w:r>
          </w:p>
        </w:tc>
      </w:tr>
      <w:tr w:rsidR="006A7017" w14:paraId="1F374711" w14:textId="77777777" w:rsidTr="00757A35"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374709" w14:textId="77777777" w:rsidR="006A7017" w:rsidRPr="00A30EE1" w:rsidRDefault="006A7017" w:rsidP="006A7017">
            <w:pPr>
              <w:jc w:val="both"/>
            </w:pPr>
            <w:r w:rsidRPr="00A30EE1">
              <w:rPr>
                <w:i/>
              </w:rPr>
              <w:t>Omjer broja završenih studenata u akademskoj godini i broja studenata diplomskih studija upisanih u prvu godinu te akademske godine</w:t>
            </w:r>
          </w:p>
        </w:tc>
        <w:tc>
          <w:tcPr>
            <w:tcW w:w="1604" w:type="dxa"/>
            <w:tcBorders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37470A" w14:textId="77777777" w:rsidR="006A7017" w:rsidRPr="00A30EE1" w:rsidRDefault="006A7017" w:rsidP="006A7017">
            <w:r w:rsidRPr="00A30EE1">
              <w:rPr>
                <w:i/>
              </w:rPr>
              <w:t>Efikasnost studiranja na diplomskim studijima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37470B" w14:textId="77777777" w:rsidR="006A7017" w:rsidRPr="00A30EE1" w:rsidRDefault="006A7017" w:rsidP="006A7017">
            <w:pPr>
              <w:jc w:val="both"/>
            </w:pPr>
            <w:r w:rsidRPr="00A30EE1">
              <w:rPr>
                <w:i/>
              </w:rPr>
              <w:t>postotak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37470C" w14:textId="69907519" w:rsidR="006A7017" w:rsidRPr="00A30EE1" w:rsidRDefault="00006808" w:rsidP="00DD60B7">
            <w:pPr>
              <w:jc w:val="center"/>
            </w:pPr>
            <w:r>
              <w:rPr>
                <w:i/>
              </w:rPr>
              <w:t>93</w:t>
            </w:r>
            <w:r w:rsidR="006A7017" w:rsidRPr="00A30EE1">
              <w:rPr>
                <w:i/>
              </w:rPr>
              <w:t>,</w:t>
            </w:r>
            <w:r>
              <w:rPr>
                <w:i/>
              </w:rPr>
              <w:t>4</w:t>
            </w:r>
            <w:r w:rsidR="006A7017" w:rsidRPr="00A30EE1">
              <w:rPr>
                <w:i/>
              </w:rPr>
              <w:t>%*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37470D" w14:textId="77777777" w:rsidR="006A7017" w:rsidRPr="00A30EE1" w:rsidRDefault="006A7017" w:rsidP="006A7017">
            <w:pPr>
              <w:jc w:val="both"/>
            </w:pPr>
            <w:r w:rsidRPr="00A30EE1">
              <w:rPr>
                <w:i/>
              </w:rPr>
              <w:t>Studentska služba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37470E" w14:textId="3E123C30" w:rsidR="006A7017" w:rsidRPr="00A30EE1" w:rsidRDefault="00006808" w:rsidP="006A7017">
            <w:pPr>
              <w:jc w:val="both"/>
            </w:pPr>
            <w:r>
              <w:rPr>
                <w:i/>
              </w:rPr>
              <w:t>9</w:t>
            </w:r>
            <w:r w:rsidR="006A7017" w:rsidRPr="00A30EE1">
              <w:rPr>
                <w:i/>
              </w:rPr>
              <w:t>4%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37470F" w14:textId="5F348C45" w:rsidR="006A7017" w:rsidRPr="00A30EE1" w:rsidRDefault="00006808" w:rsidP="006A7017">
            <w:pPr>
              <w:jc w:val="both"/>
            </w:pPr>
            <w:r>
              <w:rPr>
                <w:i/>
              </w:rPr>
              <w:t>9</w:t>
            </w:r>
            <w:r w:rsidR="006A7017" w:rsidRPr="00A30EE1">
              <w:rPr>
                <w:i/>
              </w:rPr>
              <w:t>5%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374710" w14:textId="63D58C64" w:rsidR="006A7017" w:rsidRPr="00A30EE1" w:rsidRDefault="00006808" w:rsidP="006A7017">
            <w:pPr>
              <w:jc w:val="both"/>
            </w:pPr>
            <w:r>
              <w:rPr>
                <w:i/>
              </w:rPr>
              <w:t>9</w:t>
            </w:r>
            <w:r w:rsidR="006A7017" w:rsidRPr="00A30EE1">
              <w:rPr>
                <w:i/>
              </w:rPr>
              <w:t>6%</w:t>
            </w:r>
          </w:p>
        </w:tc>
      </w:tr>
      <w:tr w:rsidR="00786331" w14:paraId="1F37471A" w14:textId="77777777" w:rsidTr="00944CD4"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14:paraId="1F374712" w14:textId="4C228B11" w:rsidR="00786331" w:rsidRPr="00A30EE1" w:rsidRDefault="00084871">
            <w:pPr>
              <w:jc w:val="both"/>
            </w:pPr>
            <w:r>
              <w:rPr>
                <w:i/>
              </w:rPr>
              <w:tab/>
            </w:r>
          </w:p>
        </w:tc>
        <w:tc>
          <w:tcPr>
            <w:tcW w:w="1604" w:type="dxa"/>
            <w:tcMar>
              <w:left w:w="108" w:type="dxa"/>
              <w:right w:w="108" w:type="dxa"/>
            </w:tcMar>
            <w:vAlign w:val="center"/>
          </w:tcPr>
          <w:p w14:paraId="1F374713" w14:textId="77777777" w:rsidR="00786331" w:rsidRPr="00A30EE1" w:rsidRDefault="002B2CC0" w:rsidP="00944CD4">
            <w:r w:rsidRPr="00A30EE1">
              <w:rPr>
                <w:i/>
              </w:rPr>
              <w:t>Znanstvena produktivnosti</w:t>
            </w:r>
          </w:p>
        </w:tc>
        <w:tc>
          <w:tcPr>
            <w:tcW w:w="1350" w:type="dxa"/>
            <w:tcMar>
              <w:left w:w="108" w:type="dxa"/>
              <w:right w:w="108" w:type="dxa"/>
            </w:tcMar>
            <w:vAlign w:val="center"/>
          </w:tcPr>
          <w:p w14:paraId="1F374714" w14:textId="77777777" w:rsidR="00786331" w:rsidRPr="00A30EE1" w:rsidRDefault="002B2CC0">
            <w:pPr>
              <w:jc w:val="both"/>
            </w:pPr>
            <w:r w:rsidRPr="00A30EE1">
              <w:rPr>
                <w:i/>
              </w:rPr>
              <w:t>broj radova</w:t>
            </w:r>
          </w:p>
        </w:tc>
        <w:tc>
          <w:tcPr>
            <w:tcW w:w="1080" w:type="dxa"/>
            <w:tcMar>
              <w:left w:w="108" w:type="dxa"/>
              <w:right w:w="108" w:type="dxa"/>
            </w:tcMar>
            <w:vAlign w:val="center"/>
          </w:tcPr>
          <w:p w14:paraId="1F374715" w14:textId="171D14B9" w:rsidR="00786331" w:rsidRPr="00A30EE1" w:rsidRDefault="00944CD4">
            <w:pPr>
              <w:jc w:val="both"/>
            </w:pPr>
            <w:r w:rsidRPr="00A30EE1">
              <w:rPr>
                <w:i/>
              </w:rPr>
              <w:t>1</w:t>
            </w:r>
            <w:r w:rsidR="00006808">
              <w:rPr>
                <w:i/>
              </w:rPr>
              <w:t>3</w:t>
            </w:r>
            <w:r w:rsidRPr="00A30EE1">
              <w:rPr>
                <w:i/>
              </w:rPr>
              <w:t>0</w:t>
            </w:r>
            <w:r w:rsidR="002B2CC0" w:rsidRPr="00A30EE1">
              <w:rPr>
                <w:i/>
              </w:rPr>
              <w:t>**</w:t>
            </w:r>
          </w:p>
        </w:tc>
        <w:tc>
          <w:tcPr>
            <w:tcW w:w="1260" w:type="dxa"/>
            <w:tcMar>
              <w:left w:w="108" w:type="dxa"/>
              <w:right w:w="108" w:type="dxa"/>
            </w:tcMar>
            <w:vAlign w:val="center"/>
          </w:tcPr>
          <w:p w14:paraId="1F374716" w14:textId="77777777" w:rsidR="00786331" w:rsidRPr="00A30EE1" w:rsidRDefault="002B2CC0">
            <w:pPr>
              <w:jc w:val="both"/>
            </w:pPr>
            <w:r w:rsidRPr="00A30EE1">
              <w:rPr>
                <w:i/>
              </w:rPr>
              <w:t>Knjižnica</w:t>
            </w:r>
          </w:p>
        </w:tc>
        <w:tc>
          <w:tcPr>
            <w:tcW w:w="1080" w:type="dxa"/>
            <w:tcMar>
              <w:left w:w="108" w:type="dxa"/>
              <w:right w:w="108" w:type="dxa"/>
            </w:tcMar>
            <w:vAlign w:val="center"/>
          </w:tcPr>
          <w:p w14:paraId="1F374717" w14:textId="05C9D4F8" w:rsidR="00786331" w:rsidRPr="00A30EE1" w:rsidRDefault="002B2CC0">
            <w:pPr>
              <w:jc w:val="both"/>
            </w:pPr>
            <w:r w:rsidRPr="00A30EE1">
              <w:rPr>
                <w:i/>
              </w:rPr>
              <w:t>1</w:t>
            </w:r>
            <w:r w:rsidR="00006808">
              <w:rPr>
                <w:i/>
              </w:rPr>
              <w:t>5</w:t>
            </w:r>
            <w:r w:rsidRPr="00A30EE1">
              <w:rPr>
                <w:i/>
              </w:rPr>
              <w:t>0</w:t>
            </w: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center"/>
          </w:tcPr>
          <w:p w14:paraId="1F374718" w14:textId="1D23230A" w:rsidR="00786331" w:rsidRPr="00A30EE1" w:rsidRDefault="002B2CC0">
            <w:pPr>
              <w:jc w:val="both"/>
            </w:pPr>
            <w:r w:rsidRPr="00A30EE1">
              <w:rPr>
                <w:i/>
              </w:rPr>
              <w:t>1</w:t>
            </w:r>
            <w:r w:rsidR="00006808">
              <w:rPr>
                <w:i/>
              </w:rPr>
              <w:t>7</w:t>
            </w:r>
            <w:r w:rsidRPr="00A30EE1">
              <w:rPr>
                <w:i/>
              </w:rPr>
              <w:t>5</w:t>
            </w: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center"/>
          </w:tcPr>
          <w:p w14:paraId="1F374719" w14:textId="77777777" w:rsidR="00786331" w:rsidRPr="00A30EE1" w:rsidRDefault="002B2CC0">
            <w:pPr>
              <w:jc w:val="both"/>
            </w:pPr>
            <w:r w:rsidRPr="00A30EE1">
              <w:rPr>
                <w:i/>
              </w:rPr>
              <w:t>200</w:t>
            </w:r>
          </w:p>
        </w:tc>
      </w:tr>
    </w:tbl>
    <w:p w14:paraId="1F37471B" w14:textId="77777777" w:rsidR="00786331" w:rsidRDefault="00786331">
      <w:pPr>
        <w:jc w:val="both"/>
      </w:pPr>
    </w:p>
    <w:p w14:paraId="1F37471C" w14:textId="77777777" w:rsidR="00786331" w:rsidRDefault="00786331">
      <w:pPr>
        <w:jc w:val="both"/>
      </w:pPr>
    </w:p>
    <w:p w14:paraId="1F37471D" w14:textId="3D0EC6C1" w:rsidR="00786331" w:rsidRDefault="002B2CC0">
      <w:pPr>
        <w:pBdr>
          <w:top w:val="dotted" w:sz="4" w:space="1" w:color="808080"/>
          <w:bottom w:val="dotted" w:sz="4" w:space="1" w:color="808080"/>
        </w:pBdr>
        <w:shd w:val="clear" w:color="auto" w:fill="D0CECE"/>
        <w:spacing w:after="160" w:line="259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A621181 </w:t>
      </w:r>
      <w:r w:rsidR="00403411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>ravomoćne sudske presude</w:t>
      </w:r>
    </w:p>
    <w:p w14:paraId="1F37471E" w14:textId="77777777" w:rsidR="00786331" w:rsidRDefault="00786331">
      <w:pPr>
        <w:ind w:left="360"/>
        <w:jc w:val="both"/>
        <w:rPr>
          <w:i/>
        </w:rPr>
      </w:pPr>
    </w:p>
    <w:tbl>
      <w:tblPr>
        <w:tblStyle w:val="a2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8"/>
        <w:gridCol w:w="1241"/>
        <w:gridCol w:w="1201"/>
        <w:gridCol w:w="1215"/>
        <w:gridCol w:w="1200"/>
        <w:gridCol w:w="1201"/>
        <w:gridCol w:w="1216"/>
      </w:tblGrid>
      <w:tr w:rsidR="00786331" w14:paraId="1F374727" w14:textId="77777777">
        <w:tc>
          <w:tcPr>
            <w:tcW w:w="1788" w:type="dxa"/>
            <w:shd w:val="clear" w:color="auto" w:fill="D0CECE"/>
          </w:tcPr>
          <w:p w14:paraId="1F37471F" w14:textId="77777777" w:rsidR="00786331" w:rsidRDefault="00786331">
            <w:pPr>
              <w:jc w:val="both"/>
            </w:pPr>
          </w:p>
          <w:p w14:paraId="1F374720" w14:textId="77777777" w:rsidR="00786331" w:rsidRDefault="00786331">
            <w:pPr>
              <w:jc w:val="both"/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1F374721" w14:textId="0E34D7AA" w:rsidR="00786331" w:rsidRDefault="002B2CC0" w:rsidP="00542B9A">
            <w:pPr>
              <w:jc w:val="center"/>
            </w:pPr>
            <w:r>
              <w:t>Izvršenje 202</w:t>
            </w:r>
            <w:r w:rsidR="00542B9A">
              <w:t>3</w:t>
            </w:r>
            <w:r>
              <w:t>.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1F374722" w14:textId="36866FB6" w:rsidR="00786331" w:rsidRDefault="002B2CC0" w:rsidP="00542B9A">
            <w:pPr>
              <w:jc w:val="center"/>
            </w:pPr>
            <w:r>
              <w:t>Plan 202</w:t>
            </w:r>
            <w:r w:rsidR="00542B9A">
              <w:t>4</w:t>
            </w:r>
            <w:r>
              <w:t>.</w:t>
            </w:r>
          </w:p>
        </w:tc>
        <w:tc>
          <w:tcPr>
            <w:tcW w:w="1215" w:type="dxa"/>
            <w:shd w:val="clear" w:color="auto" w:fill="D0CECE"/>
            <w:vAlign w:val="center"/>
          </w:tcPr>
          <w:p w14:paraId="1F374723" w14:textId="2A1EF057" w:rsidR="00786331" w:rsidRDefault="002B2CC0">
            <w:pPr>
              <w:jc w:val="center"/>
            </w:pPr>
            <w:r>
              <w:t>Plan 202</w:t>
            </w:r>
            <w:r w:rsidR="00EB7A2A">
              <w:t>5</w:t>
            </w:r>
            <w:r>
              <w:t>.</w:t>
            </w:r>
          </w:p>
        </w:tc>
        <w:tc>
          <w:tcPr>
            <w:tcW w:w="1200" w:type="dxa"/>
            <w:shd w:val="clear" w:color="auto" w:fill="D0CECE"/>
            <w:vAlign w:val="center"/>
          </w:tcPr>
          <w:p w14:paraId="1F374724" w14:textId="3F904031" w:rsidR="00786331" w:rsidRDefault="002B2CC0">
            <w:pPr>
              <w:jc w:val="center"/>
            </w:pPr>
            <w:r>
              <w:t>Plan 202</w:t>
            </w:r>
            <w:r w:rsidR="00EB7A2A">
              <w:t>6</w:t>
            </w:r>
            <w:r>
              <w:t>.</w:t>
            </w:r>
          </w:p>
        </w:tc>
        <w:tc>
          <w:tcPr>
            <w:tcW w:w="1201" w:type="dxa"/>
            <w:shd w:val="clear" w:color="auto" w:fill="D0CECE"/>
            <w:vAlign w:val="center"/>
          </w:tcPr>
          <w:p w14:paraId="1F374725" w14:textId="175D7C99" w:rsidR="00786331" w:rsidRDefault="002B2CC0">
            <w:pPr>
              <w:jc w:val="center"/>
            </w:pPr>
            <w:r>
              <w:t>Plan 202</w:t>
            </w:r>
            <w:r w:rsidR="00EB7A2A">
              <w:t>7</w:t>
            </w:r>
            <w:r>
              <w:t>.</w:t>
            </w:r>
          </w:p>
        </w:tc>
        <w:tc>
          <w:tcPr>
            <w:tcW w:w="1216" w:type="dxa"/>
            <w:shd w:val="clear" w:color="auto" w:fill="D0CECE"/>
            <w:vAlign w:val="center"/>
          </w:tcPr>
          <w:p w14:paraId="1F374726" w14:textId="1BEBBFE0" w:rsidR="00786331" w:rsidRDefault="002B2CC0">
            <w:pPr>
              <w:jc w:val="center"/>
            </w:pPr>
            <w:r>
              <w:t>Indeks 2</w:t>
            </w:r>
            <w:r w:rsidR="00A71B72">
              <w:t>5</w:t>
            </w:r>
            <w:r>
              <w:t>./2</w:t>
            </w:r>
            <w:r w:rsidR="00A71B72">
              <w:t>4</w:t>
            </w:r>
            <w:r>
              <w:t>.</w:t>
            </w:r>
          </w:p>
        </w:tc>
      </w:tr>
      <w:tr w:rsidR="00786331" w14:paraId="1F374730" w14:textId="77777777">
        <w:tc>
          <w:tcPr>
            <w:tcW w:w="1788" w:type="dxa"/>
          </w:tcPr>
          <w:p w14:paraId="1F374728" w14:textId="77777777" w:rsidR="00786331" w:rsidRDefault="002B2CC0">
            <w:r>
              <w:t>A621181 Pravomoćne sudske presude</w:t>
            </w:r>
          </w:p>
          <w:p w14:paraId="1F374729" w14:textId="77777777" w:rsidR="00786331" w:rsidRDefault="00786331">
            <w:pPr>
              <w:pBdr>
                <w:top w:val="dotted" w:sz="4" w:space="1" w:color="808080"/>
                <w:bottom w:val="dotted" w:sz="4" w:space="1" w:color="808080"/>
              </w:pBdr>
              <w:shd w:val="clear" w:color="auto" w:fill="D0CECE"/>
              <w:jc w:val="both"/>
            </w:pPr>
          </w:p>
        </w:tc>
        <w:tc>
          <w:tcPr>
            <w:tcW w:w="1241" w:type="dxa"/>
            <w:shd w:val="clear" w:color="auto" w:fill="auto"/>
          </w:tcPr>
          <w:p w14:paraId="1F37472A" w14:textId="77777777" w:rsidR="00786331" w:rsidRPr="00DD6780" w:rsidRDefault="002B2C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78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01" w:type="dxa"/>
          </w:tcPr>
          <w:p w14:paraId="63F9E360" w14:textId="44768AAE" w:rsidR="001B32A1" w:rsidRPr="00DD6780" w:rsidRDefault="00F85B19" w:rsidP="001B32A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245</w:t>
            </w:r>
            <w:r w:rsidR="0082024A">
              <w:rPr>
                <w:rFonts w:ascii="Arial" w:hAnsi="Arial" w:cs="Arial"/>
                <w:b/>
                <w:bCs/>
                <w:sz w:val="20"/>
                <w:szCs w:val="20"/>
              </w:rPr>
              <w:t>.884</w:t>
            </w:r>
          </w:p>
          <w:p w14:paraId="1F37472B" w14:textId="644447F7" w:rsidR="00786331" w:rsidRPr="00DD6780" w:rsidRDefault="00786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</w:tcPr>
          <w:p w14:paraId="1F37472C" w14:textId="7AF19D16" w:rsidR="00786331" w:rsidRPr="00DF2801" w:rsidRDefault="00DF2801" w:rsidP="00DF280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F280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200" w:type="dxa"/>
          </w:tcPr>
          <w:p w14:paraId="65B5480B" w14:textId="2768CF9E" w:rsidR="0082024A" w:rsidRPr="00DD6780" w:rsidRDefault="00DF2801" w:rsidP="0082024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  <w:p w14:paraId="1F37472D" w14:textId="5DA24090" w:rsidR="00786331" w:rsidRPr="00DD6780" w:rsidRDefault="00786331" w:rsidP="004034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</w:tcPr>
          <w:p w14:paraId="6CAA903C" w14:textId="1398311F" w:rsidR="0082024A" w:rsidRPr="00DD6780" w:rsidRDefault="00DF2801" w:rsidP="0082024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  <w:p w14:paraId="1F37472E" w14:textId="3493B6C5" w:rsidR="00786331" w:rsidRPr="00DD6780" w:rsidRDefault="00786331" w:rsidP="004034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</w:tcPr>
          <w:p w14:paraId="1F37472F" w14:textId="2AC6F8A5" w:rsidR="00786331" w:rsidRPr="00DD6780" w:rsidRDefault="001A14D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14:paraId="1F374731" w14:textId="77777777" w:rsidR="00786331" w:rsidRDefault="00786331">
      <w:pPr>
        <w:jc w:val="both"/>
        <w:rPr>
          <w:i/>
        </w:rPr>
      </w:pPr>
    </w:p>
    <w:p w14:paraId="1F374732" w14:textId="2472614E" w:rsidR="00786331" w:rsidRPr="00DD6780" w:rsidRDefault="002B2CC0">
      <w:pPr>
        <w:jc w:val="both"/>
      </w:pPr>
      <w:r w:rsidRPr="00DD6780">
        <w:t>Ova aktivnost</w:t>
      </w:r>
      <w:r w:rsidR="00DF2801">
        <w:t xml:space="preserve"> se</w:t>
      </w:r>
      <w:r w:rsidRPr="00DD6780">
        <w:t xml:space="preserve"> </w:t>
      </w:r>
      <w:r w:rsidR="00DF2801">
        <w:t xml:space="preserve">ne </w:t>
      </w:r>
      <w:r w:rsidRPr="00DD6780">
        <w:t xml:space="preserve">planira provesti </w:t>
      </w:r>
      <w:r w:rsidR="001C43B0" w:rsidRPr="00DD6780">
        <w:t>kroz</w:t>
      </w:r>
      <w:r w:rsidRPr="00DD6780">
        <w:t xml:space="preserve"> </w:t>
      </w:r>
      <w:r w:rsidR="008C2696" w:rsidRPr="00DD6780">
        <w:t>sve tri g</w:t>
      </w:r>
      <w:r w:rsidRPr="00DD6780">
        <w:t>odin</w:t>
      </w:r>
      <w:r w:rsidR="008C2696" w:rsidRPr="00DD6780">
        <w:t>e</w:t>
      </w:r>
      <w:r w:rsidRPr="00DD6780">
        <w:t>.</w:t>
      </w:r>
    </w:p>
    <w:p w14:paraId="1F374733" w14:textId="77777777" w:rsidR="00786331" w:rsidRPr="00DD6780" w:rsidRDefault="00786331">
      <w:pPr>
        <w:jc w:val="both"/>
        <w:rPr>
          <w:i/>
        </w:rPr>
      </w:pPr>
    </w:p>
    <w:p w14:paraId="1F374734" w14:textId="77777777" w:rsidR="00786331" w:rsidRPr="00DD6780" w:rsidRDefault="002B2CC0">
      <w:pPr>
        <w:pBdr>
          <w:top w:val="dotted" w:sz="4" w:space="1" w:color="808080"/>
          <w:bottom w:val="dotted" w:sz="4" w:space="1" w:color="808080"/>
        </w:pBdr>
        <w:shd w:val="clear" w:color="auto" w:fill="D0CECE"/>
        <w:spacing w:after="160" w:line="259" w:lineRule="auto"/>
        <w:jc w:val="both"/>
        <w:rPr>
          <w:b/>
          <w:sz w:val="28"/>
          <w:szCs w:val="28"/>
        </w:rPr>
      </w:pPr>
      <w:r w:rsidRPr="00DD6780">
        <w:rPr>
          <w:b/>
          <w:sz w:val="28"/>
          <w:szCs w:val="28"/>
        </w:rPr>
        <w:t>A679088 Redovna djelatnost Sveučilišta u Zagrebu (iz evidencijskih prihoda)</w:t>
      </w:r>
    </w:p>
    <w:p w14:paraId="1F374735" w14:textId="77777777" w:rsidR="00786331" w:rsidRPr="00DD6780" w:rsidRDefault="002B2CC0">
      <w:pPr>
        <w:jc w:val="both"/>
        <w:rPr>
          <w:i/>
        </w:rPr>
      </w:pPr>
      <w:r w:rsidRPr="00DD6780">
        <w:rPr>
          <w:i/>
        </w:rPr>
        <w:t>Zakonske i druge pravne osnove</w:t>
      </w:r>
    </w:p>
    <w:p w14:paraId="1F374736" w14:textId="77777777" w:rsidR="00786331" w:rsidRPr="00DD6780" w:rsidRDefault="00786331">
      <w:pPr>
        <w:jc w:val="both"/>
        <w:rPr>
          <w:i/>
        </w:rPr>
      </w:pPr>
    </w:p>
    <w:p w14:paraId="1F374737" w14:textId="77777777" w:rsidR="00786331" w:rsidRPr="00DD6780" w:rsidRDefault="002B2C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DD6780">
        <w:t xml:space="preserve">Zakon o znanstvenoj djelatnosti i visokom obrazovanju </w:t>
      </w:r>
    </w:p>
    <w:p w14:paraId="1F374738" w14:textId="77777777" w:rsidR="00786331" w:rsidRPr="00DD6780" w:rsidRDefault="002B2C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DD6780">
        <w:t xml:space="preserve">Kolektivni ugovor za znanost i visoko obrazovanje </w:t>
      </w:r>
    </w:p>
    <w:p w14:paraId="1F374739" w14:textId="77777777" w:rsidR="00786331" w:rsidRPr="00DD6780" w:rsidRDefault="002B2C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DD6780">
        <w:t xml:space="preserve">Zakon o studentskom zboru i drugim studentskim organizacijama </w:t>
      </w:r>
    </w:p>
    <w:p w14:paraId="1F37473A" w14:textId="77777777" w:rsidR="00786331" w:rsidRPr="00DD6780" w:rsidRDefault="002B2C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DD6780">
        <w:t xml:space="preserve">Strategija znanosti, obrazovanja i tehnologije, </w:t>
      </w:r>
    </w:p>
    <w:p w14:paraId="1F37473B" w14:textId="77777777" w:rsidR="00786331" w:rsidRPr="00DD6780" w:rsidRDefault="002B2C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DD6780">
        <w:t>Strategija Fakulteta strojarstva i brodogradnje 2014.-2025.</w:t>
      </w:r>
    </w:p>
    <w:p w14:paraId="1F37473C" w14:textId="77777777" w:rsidR="00786331" w:rsidRDefault="00786331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i/>
          <w:sz w:val="22"/>
          <w:szCs w:val="22"/>
        </w:rPr>
      </w:pPr>
    </w:p>
    <w:tbl>
      <w:tblPr>
        <w:tblStyle w:val="a3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2"/>
        <w:gridCol w:w="1296"/>
        <w:gridCol w:w="1296"/>
        <w:gridCol w:w="1296"/>
        <w:gridCol w:w="1296"/>
        <w:gridCol w:w="1296"/>
        <w:gridCol w:w="990"/>
      </w:tblGrid>
      <w:tr w:rsidR="00786331" w14:paraId="1F374745" w14:textId="77777777">
        <w:tc>
          <w:tcPr>
            <w:tcW w:w="1592" w:type="dxa"/>
            <w:shd w:val="clear" w:color="auto" w:fill="D0CECE"/>
          </w:tcPr>
          <w:p w14:paraId="1F37473D" w14:textId="77777777" w:rsidR="00786331" w:rsidRDefault="00786331">
            <w:pPr>
              <w:jc w:val="both"/>
            </w:pPr>
          </w:p>
          <w:p w14:paraId="1F37473E" w14:textId="77777777" w:rsidR="00786331" w:rsidRDefault="00786331">
            <w:pPr>
              <w:jc w:val="both"/>
            </w:pPr>
          </w:p>
        </w:tc>
        <w:tc>
          <w:tcPr>
            <w:tcW w:w="1296" w:type="dxa"/>
            <w:shd w:val="clear" w:color="auto" w:fill="D0CECE"/>
            <w:vAlign w:val="center"/>
          </w:tcPr>
          <w:p w14:paraId="1F37473F" w14:textId="0959D02B" w:rsidR="00786331" w:rsidRDefault="002B2CC0">
            <w:pPr>
              <w:jc w:val="center"/>
            </w:pPr>
            <w:r>
              <w:t>Izvršenje 202</w:t>
            </w:r>
            <w:r w:rsidR="006E1375">
              <w:t>3.</w:t>
            </w:r>
          </w:p>
        </w:tc>
        <w:tc>
          <w:tcPr>
            <w:tcW w:w="1296" w:type="dxa"/>
            <w:shd w:val="clear" w:color="auto" w:fill="D0CECE"/>
            <w:vAlign w:val="center"/>
          </w:tcPr>
          <w:p w14:paraId="1F374740" w14:textId="1E9FF15E" w:rsidR="00786331" w:rsidRDefault="002B2CC0">
            <w:pPr>
              <w:jc w:val="center"/>
            </w:pPr>
            <w:r>
              <w:t>Plan 202</w:t>
            </w:r>
            <w:r w:rsidR="006E1375">
              <w:t>4</w:t>
            </w:r>
            <w:r>
              <w:t>.</w:t>
            </w:r>
          </w:p>
        </w:tc>
        <w:tc>
          <w:tcPr>
            <w:tcW w:w="1296" w:type="dxa"/>
            <w:shd w:val="clear" w:color="auto" w:fill="D0CECE"/>
            <w:vAlign w:val="center"/>
          </w:tcPr>
          <w:p w14:paraId="1F374741" w14:textId="610B3DB2" w:rsidR="00786331" w:rsidRDefault="002B2CC0">
            <w:pPr>
              <w:jc w:val="center"/>
            </w:pPr>
            <w:r>
              <w:t>Plan 202</w:t>
            </w:r>
            <w:r w:rsidR="006E1375">
              <w:t>5</w:t>
            </w:r>
            <w:r>
              <w:t>.</w:t>
            </w:r>
          </w:p>
        </w:tc>
        <w:tc>
          <w:tcPr>
            <w:tcW w:w="1296" w:type="dxa"/>
            <w:shd w:val="clear" w:color="auto" w:fill="D0CECE"/>
            <w:vAlign w:val="center"/>
          </w:tcPr>
          <w:p w14:paraId="1F374742" w14:textId="594CA1BD" w:rsidR="00786331" w:rsidRDefault="002B2CC0">
            <w:pPr>
              <w:jc w:val="center"/>
            </w:pPr>
            <w:r>
              <w:t>Plan 202</w:t>
            </w:r>
            <w:r w:rsidR="006E1375">
              <w:t>6</w:t>
            </w:r>
            <w:r>
              <w:t>.</w:t>
            </w:r>
          </w:p>
        </w:tc>
        <w:tc>
          <w:tcPr>
            <w:tcW w:w="1296" w:type="dxa"/>
            <w:shd w:val="clear" w:color="auto" w:fill="D0CECE"/>
            <w:vAlign w:val="center"/>
          </w:tcPr>
          <w:p w14:paraId="1F374743" w14:textId="65EC166D" w:rsidR="00786331" w:rsidRDefault="002B2CC0">
            <w:pPr>
              <w:jc w:val="center"/>
            </w:pPr>
            <w:r>
              <w:t>Plan 202</w:t>
            </w:r>
            <w:r w:rsidR="006E1375">
              <w:t>7</w:t>
            </w:r>
            <w:r>
              <w:t>.</w:t>
            </w:r>
          </w:p>
        </w:tc>
        <w:tc>
          <w:tcPr>
            <w:tcW w:w="990" w:type="dxa"/>
            <w:shd w:val="clear" w:color="auto" w:fill="D0CECE"/>
            <w:vAlign w:val="center"/>
          </w:tcPr>
          <w:p w14:paraId="1F374744" w14:textId="76B08004" w:rsidR="00786331" w:rsidRDefault="002B2CC0">
            <w:pPr>
              <w:jc w:val="center"/>
            </w:pPr>
            <w:r>
              <w:t>Indeks 2</w:t>
            </w:r>
            <w:r w:rsidR="00A71B72">
              <w:t>5</w:t>
            </w:r>
            <w:r>
              <w:t>./2</w:t>
            </w:r>
            <w:r w:rsidR="00A71B72">
              <w:t>4</w:t>
            </w:r>
            <w:r>
              <w:t>.</w:t>
            </w:r>
          </w:p>
        </w:tc>
      </w:tr>
      <w:tr w:rsidR="00786331" w14:paraId="1F37474E" w14:textId="77777777">
        <w:tc>
          <w:tcPr>
            <w:tcW w:w="1592" w:type="dxa"/>
          </w:tcPr>
          <w:p w14:paraId="1F374746" w14:textId="50488DCC" w:rsidR="00786331" w:rsidRDefault="002B2CC0">
            <w:r>
              <w:t>A6790</w:t>
            </w:r>
            <w:r w:rsidR="007641DD">
              <w:t>8</w:t>
            </w:r>
            <w:r>
              <w:t>8</w:t>
            </w:r>
          </w:p>
          <w:p w14:paraId="1F374747" w14:textId="77777777" w:rsidR="00786331" w:rsidRDefault="002B2CC0">
            <w:r>
              <w:t>Redovna djelatnost Sveučilišta u Zagrebu iz evidencijskih prihoda)</w:t>
            </w:r>
          </w:p>
        </w:tc>
        <w:tc>
          <w:tcPr>
            <w:tcW w:w="1296" w:type="dxa"/>
            <w:shd w:val="clear" w:color="auto" w:fill="auto"/>
          </w:tcPr>
          <w:p w14:paraId="2F97E6DE" w14:textId="0066B7C2" w:rsidR="00DD6780" w:rsidRPr="00DD6780" w:rsidRDefault="007641DD" w:rsidP="00DD678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1.749.512</w:t>
            </w:r>
          </w:p>
          <w:p w14:paraId="1F374748" w14:textId="77777777" w:rsidR="00892643" w:rsidRPr="00DD6780" w:rsidRDefault="00892643" w:rsidP="00DD67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14:paraId="14303AA2" w14:textId="565721E9" w:rsidR="00DD6780" w:rsidRPr="00DD6780" w:rsidRDefault="002045DB" w:rsidP="00DD678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536.480</w:t>
            </w:r>
          </w:p>
          <w:p w14:paraId="1F374749" w14:textId="502441BC" w:rsidR="00786331" w:rsidRPr="00DD6780" w:rsidRDefault="007863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14:paraId="5988A52F" w14:textId="54C35277" w:rsidR="00DD6780" w:rsidRPr="00DD6780" w:rsidRDefault="00A71B72" w:rsidP="00DD678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6.577.634</w:t>
            </w:r>
          </w:p>
          <w:p w14:paraId="1F37474A" w14:textId="19FA9859" w:rsidR="00786331" w:rsidRPr="00DD6780" w:rsidRDefault="007863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14:paraId="5D4D117F" w14:textId="68C6C5BC" w:rsidR="00DD6780" w:rsidRPr="00DD6780" w:rsidRDefault="00A71B72" w:rsidP="00DD678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3.942.911</w:t>
            </w:r>
          </w:p>
          <w:p w14:paraId="1F37474B" w14:textId="3DB35A03" w:rsidR="00786331" w:rsidRPr="00DD6780" w:rsidRDefault="007863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14:paraId="6F24776A" w14:textId="50120EE5" w:rsidR="00DD6780" w:rsidRDefault="00A71B72" w:rsidP="00DD678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4.007.470</w:t>
            </w:r>
          </w:p>
          <w:p w14:paraId="13BF2A06" w14:textId="77777777" w:rsidR="005C138C" w:rsidRPr="00DD6780" w:rsidRDefault="005C138C" w:rsidP="00DD678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  <w:p w14:paraId="1F37474C" w14:textId="2490EA1A" w:rsidR="00786331" w:rsidRPr="00DD6780" w:rsidRDefault="007863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6A0759F" w14:textId="4EBA1557" w:rsidR="00786331" w:rsidRDefault="00A71B7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1226</w:t>
            </w:r>
            <w:r w:rsidR="000422CA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  <w:p w14:paraId="1F37474D" w14:textId="6F61D11F" w:rsidR="005C138C" w:rsidRPr="00DD6780" w:rsidRDefault="005C138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F37474F" w14:textId="24CD02D8" w:rsidR="00786331" w:rsidRDefault="00786331">
      <w:pPr>
        <w:jc w:val="both"/>
        <w:rPr>
          <w:i/>
        </w:rPr>
      </w:pPr>
    </w:p>
    <w:p w14:paraId="1F374750" w14:textId="77777777" w:rsidR="00786331" w:rsidRPr="00DD6780" w:rsidRDefault="002B2CC0">
      <w:pPr>
        <w:jc w:val="both"/>
        <w:rPr>
          <w:i/>
        </w:rPr>
      </w:pPr>
      <w:r w:rsidRPr="00DD6780">
        <w:rPr>
          <w:i/>
        </w:rPr>
        <w:t xml:space="preserve">Ova aktivnost provodi se svake godine.  </w:t>
      </w:r>
    </w:p>
    <w:p w14:paraId="1F374751" w14:textId="2DF82007" w:rsidR="00786331" w:rsidRPr="00DD6780" w:rsidRDefault="002B2CC0">
      <w:pPr>
        <w:jc w:val="both"/>
        <w:rPr>
          <w:i/>
        </w:rPr>
      </w:pPr>
      <w:r w:rsidRPr="00DD6780">
        <w:rPr>
          <w:i/>
        </w:rPr>
        <w:t>U razdoblju 202</w:t>
      </w:r>
      <w:r w:rsidR="0016036C">
        <w:rPr>
          <w:i/>
        </w:rPr>
        <w:t>5</w:t>
      </w:r>
      <w:r w:rsidRPr="00DD6780">
        <w:rPr>
          <w:i/>
        </w:rPr>
        <w:t>. – 202</w:t>
      </w:r>
      <w:r w:rsidR="0016036C">
        <w:rPr>
          <w:i/>
        </w:rPr>
        <w:t>7</w:t>
      </w:r>
      <w:r w:rsidRPr="00DD6780">
        <w:rPr>
          <w:i/>
        </w:rPr>
        <w:t>. očekuje se ostvarenje ciljeva sukladno Razvojnoj i Istraživačkoj strategiji Sveučilišta.</w:t>
      </w:r>
    </w:p>
    <w:p w14:paraId="1F374752" w14:textId="77777777" w:rsidR="00786331" w:rsidRDefault="00786331">
      <w:pPr>
        <w:jc w:val="both"/>
        <w:rPr>
          <w:i/>
        </w:rPr>
      </w:pPr>
    </w:p>
    <w:p w14:paraId="1F374753" w14:textId="432083CB" w:rsidR="00786331" w:rsidRDefault="002B2CC0">
      <w:pPr>
        <w:jc w:val="both"/>
        <w:rPr>
          <w:i/>
        </w:rPr>
      </w:pPr>
      <w:r>
        <w:rPr>
          <w:i/>
        </w:rPr>
        <w:t>Plan rashoda redovne djelatnosti fakulteta evidencijskih prihoda (izvori 31, 43, 52, 61, 71 ) izračunat je prema proračunima ugovorenih znanstvenih projekta i procjeni gospodarskih aktivnosti.</w:t>
      </w:r>
      <w:r w:rsidR="001C43B0">
        <w:rPr>
          <w:i/>
        </w:rPr>
        <w:t xml:space="preserve"> </w:t>
      </w:r>
    </w:p>
    <w:p w14:paraId="1F374754" w14:textId="77777777" w:rsidR="00786331" w:rsidRDefault="00786331">
      <w:pPr>
        <w:jc w:val="both"/>
        <w:rPr>
          <w:i/>
        </w:rPr>
      </w:pPr>
    </w:p>
    <w:p w14:paraId="1F374755" w14:textId="77777777" w:rsidR="00786331" w:rsidRDefault="00786331">
      <w:pPr>
        <w:jc w:val="both"/>
        <w:rPr>
          <w:i/>
        </w:rPr>
      </w:pPr>
    </w:p>
    <w:p w14:paraId="1F374756" w14:textId="77777777" w:rsidR="00786331" w:rsidRPr="007324AA" w:rsidRDefault="00786331">
      <w:pPr>
        <w:jc w:val="both"/>
        <w:rPr>
          <w:i/>
          <w:color w:val="0070C0"/>
        </w:rPr>
      </w:pPr>
    </w:p>
    <w:p w14:paraId="1F3747C5" w14:textId="77777777" w:rsidR="00786331" w:rsidRDefault="00786331">
      <w:pPr>
        <w:jc w:val="both"/>
      </w:pPr>
    </w:p>
    <w:p w14:paraId="1F3747C6" w14:textId="77777777" w:rsidR="00786331" w:rsidRDefault="00786331">
      <w:pPr>
        <w:jc w:val="both"/>
      </w:pPr>
    </w:p>
    <w:p w14:paraId="1F3747C7" w14:textId="77777777" w:rsidR="00786331" w:rsidRDefault="002B2CC0">
      <w:pPr>
        <w:pBdr>
          <w:top w:val="dotted" w:sz="4" w:space="1" w:color="808080"/>
          <w:bottom w:val="dotted" w:sz="4" w:space="1" w:color="808080"/>
        </w:pBdr>
        <w:shd w:val="clear" w:color="auto" w:fill="D0CECE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K679116 OBNOVA INFRASTRUKTURE I OPREME U PODRUČJU OBRAZOVANJA OŠTEĆENE POTRESOM</w:t>
      </w:r>
    </w:p>
    <w:tbl>
      <w:tblPr>
        <w:tblStyle w:val="a5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1130"/>
        <w:gridCol w:w="145"/>
        <w:gridCol w:w="1418"/>
        <w:gridCol w:w="1276"/>
        <w:gridCol w:w="850"/>
        <w:gridCol w:w="709"/>
        <w:gridCol w:w="1134"/>
        <w:gridCol w:w="992"/>
      </w:tblGrid>
      <w:tr w:rsidR="00786331" w14:paraId="1F3747D0" w14:textId="77777777" w:rsidTr="00A71B72">
        <w:trPr>
          <w:trHeight w:val="667"/>
        </w:trPr>
        <w:tc>
          <w:tcPr>
            <w:tcW w:w="2122" w:type="dxa"/>
            <w:shd w:val="clear" w:color="auto" w:fill="D0CECE"/>
          </w:tcPr>
          <w:p w14:paraId="1F3747C8" w14:textId="77777777" w:rsidR="00786331" w:rsidRDefault="00786331">
            <w:pPr>
              <w:jc w:val="both"/>
            </w:pPr>
          </w:p>
          <w:p w14:paraId="1F3747C9" w14:textId="77777777" w:rsidR="00786331" w:rsidRDefault="00786331">
            <w:pPr>
              <w:jc w:val="both"/>
            </w:pPr>
          </w:p>
        </w:tc>
        <w:tc>
          <w:tcPr>
            <w:tcW w:w="1130" w:type="dxa"/>
            <w:shd w:val="clear" w:color="auto" w:fill="D0CECE"/>
            <w:vAlign w:val="center"/>
          </w:tcPr>
          <w:p w14:paraId="1F3747CA" w14:textId="5A9C6470" w:rsidR="00786331" w:rsidRPr="00E300DF" w:rsidRDefault="00E300DF">
            <w:pPr>
              <w:jc w:val="center"/>
              <w:rPr>
                <w:sz w:val="20"/>
                <w:szCs w:val="20"/>
              </w:rPr>
            </w:pPr>
            <w:r w:rsidRPr="00E300DF">
              <w:rPr>
                <w:sz w:val="20"/>
                <w:szCs w:val="20"/>
              </w:rPr>
              <w:t>Izvršenje 202</w:t>
            </w:r>
            <w:r w:rsidR="000422CA">
              <w:rPr>
                <w:sz w:val="20"/>
                <w:szCs w:val="20"/>
              </w:rPr>
              <w:t>3</w:t>
            </w:r>
            <w:r w:rsidRPr="00E300DF">
              <w:rPr>
                <w:sz w:val="20"/>
                <w:szCs w:val="20"/>
              </w:rPr>
              <w:t>.</w:t>
            </w:r>
          </w:p>
        </w:tc>
        <w:tc>
          <w:tcPr>
            <w:tcW w:w="1563" w:type="dxa"/>
            <w:gridSpan w:val="2"/>
            <w:shd w:val="clear" w:color="auto" w:fill="D0CECE"/>
            <w:vAlign w:val="center"/>
          </w:tcPr>
          <w:p w14:paraId="1F3747CB" w14:textId="10EB9217" w:rsidR="00786331" w:rsidRDefault="00663CD9">
            <w:pPr>
              <w:jc w:val="center"/>
            </w:pPr>
            <w:r>
              <w:t>Plan 202</w:t>
            </w:r>
            <w:r w:rsidR="000422CA">
              <w:t>4</w:t>
            </w:r>
            <w:r>
              <w:t>.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1F3747CC" w14:textId="77EBA8AD" w:rsidR="00786331" w:rsidRDefault="002B2CC0">
            <w:pPr>
              <w:jc w:val="center"/>
            </w:pPr>
            <w:r>
              <w:t>Plan 202</w:t>
            </w:r>
            <w:r w:rsidR="000422CA">
              <w:t>5</w:t>
            </w:r>
            <w:r>
              <w:t>.</w:t>
            </w:r>
          </w:p>
        </w:tc>
        <w:tc>
          <w:tcPr>
            <w:tcW w:w="850" w:type="dxa"/>
            <w:shd w:val="clear" w:color="auto" w:fill="D0CECE"/>
            <w:vAlign w:val="center"/>
          </w:tcPr>
          <w:p w14:paraId="1F3747CD" w14:textId="39A96E78" w:rsidR="00786331" w:rsidRDefault="002B2CC0">
            <w:pPr>
              <w:jc w:val="center"/>
            </w:pPr>
            <w:r>
              <w:t>Plan 202</w:t>
            </w:r>
            <w:r w:rsidR="000422CA">
              <w:t>6</w:t>
            </w:r>
            <w:r>
              <w:t>.</w:t>
            </w:r>
          </w:p>
        </w:tc>
        <w:tc>
          <w:tcPr>
            <w:tcW w:w="1843" w:type="dxa"/>
            <w:gridSpan w:val="2"/>
            <w:shd w:val="clear" w:color="auto" w:fill="D0CECE"/>
            <w:vAlign w:val="center"/>
          </w:tcPr>
          <w:p w14:paraId="1F3747CE" w14:textId="75D062A4" w:rsidR="00786331" w:rsidRDefault="002B2CC0">
            <w:pPr>
              <w:jc w:val="center"/>
            </w:pPr>
            <w:r>
              <w:t>Plan 202</w:t>
            </w:r>
            <w:r w:rsidR="000422CA">
              <w:t>7</w:t>
            </w:r>
            <w:r>
              <w:t>.</w:t>
            </w:r>
          </w:p>
        </w:tc>
        <w:tc>
          <w:tcPr>
            <w:tcW w:w="992" w:type="dxa"/>
            <w:shd w:val="clear" w:color="auto" w:fill="D0CECE"/>
            <w:vAlign w:val="center"/>
          </w:tcPr>
          <w:p w14:paraId="1F3747CF" w14:textId="0442B19F" w:rsidR="00786331" w:rsidRDefault="002B2CC0">
            <w:pPr>
              <w:jc w:val="center"/>
            </w:pPr>
            <w:r>
              <w:t>Indeks 2</w:t>
            </w:r>
            <w:r w:rsidR="00A71B72">
              <w:t>5</w:t>
            </w:r>
            <w:r>
              <w:t>./2</w:t>
            </w:r>
            <w:r w:rsidR="00A71B72">
              <w:t>4</w:t>
            </w:r>
            <w:r>
              <w:t>.</w:t>
            </w:r>
          </w:p>
        </w:tc>
      </w:tr>
      <w:tr w:rsidR="00786331" w14:paraId="1F3747D8" w14:textId="77777777" w:rsidTr="00A71B72">
        <w:tc>
          <w:tcPr>
            <w:tcW w:w="2122" w:type="dxa"/>
          </w:tcPr>
          <w:p w14:paraId="1F3747D1" w14:textId="77777777" w:rsidR="00786331" w:rsidRDefault="002B2CC0">
            <w:r>
              <w:lastRenderedPageBreak/>
              <w:t>K679116 OBNOVA INFRASTRUKTURE I OPREME U PODRUČJU OBRAZOVANJA OŠTEĆENE POTRESOM</w:t>
            </w:r>
          </w:p>
        </w:tc>
        <w:tc>
          <w:tcPr>
            <w:tcW w:w="1275" w:type="dxa"/>
            <w:gridSpan w:val="2"/>
          </w:tcPr>
          <w:p w14:paraId="5B7C9A89" w14:textId="273B87B5" w:rsidR="00A47B97" w:rsidRPr="00A47B97" w:rsidRDefault="00EA1955" w:rsidP="00A47B9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</w:t>
            </w:r>
            <w:r w:rsidR="00242B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030.545</w:t>
            </w:r>
          </w:p>
          <w:p w14:paraId="1F3747D2" w14:textId="77777777" w:rsidR="00786331" w:rsidRPr="00A47B97" w:rsidRDefault="0078633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E69CB5" w14:textId="36F99DD4" w:rsidR="00A47B97" w:rsidRPr="00A47B97" w:rsidRDefault="00F10C5F" w:rsidP="00A47B9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12.713.044</w:t>
            </w:r>
          </w:p>
          <w:p w14:paraId="1F3747D3" w14:textId="77777777" w:rsidR="00786331" w:rsidRPr="00A47B97" w:rsidRDefault="0078633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D74197" w14:textId="517AB8F5" w:rsidR="00A47B97" w:rsidRPr="00A47B97" w:rsidRDefault="00A71B72" w:rsidP="00A47B9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11.345.213</w:t>
            </w:r>
          </w:p>
          <w:p w14:paraId="1F3747D4" w14:textId="04169D34" w:rsidR="00786331" w:rsidRPr="00A47B97" w:rsidRDefault="0078633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F3747D5" w14:textId="6C16720F" w:rsidR="00786331" w:rsidRPr="00A47B97" w:rsidRDefault="002B2CC0" w:rsidP="00F42DE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7B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71B72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F3747D6" w14:textId="3422883C" w:rsidR="00F42DE7" w:rsidRPr="00A47B97" w:rsidRDefault="00A71B72" w:rsidP="00F10C5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A4F039C" w14:textId="16EAC40B" w:rsidR="00786331" w:rsidRPr="00A47B97" w:rsidRDefault="00A71B7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89,2</w:t>
            </w:r>
            <w:r w:rsidR="00B0531D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  <w:p w14:paraId="1F3747D7" w14:textId="43D2D343" w:rsidR="00A47B97" w:rsidRPr="00A47B97" w:rsidRDefault="00A47B9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F3747D9" w14:textId="61D74488" w:rsidR="00786331" w:rsidRDefault="002B2CC0">
      <w:pPr>
        <w:jc w:val="both"/>
        <w:rPr>
          <w:i/>
        </w:rPr>
      </w:pPr>
      <w:r>
        <w:rPr>
          <w:i/>
        </w:rPr>
        <w:t>U 202</w:t>
      </w:r>
      <w:r w:rsidR="00C41291">
        <w:rPr>
          <w:i/>
        </w:rPr>
        <w:t>3</w:t>
      </w:r>
      <w:r>
        <w:rPr>
          <w:i/>
        </w:rPr>
        <w:t xml:space="preserve">. godini </w:t>
      </w:r>
      <w:r w:rsidR="00592516">
        <w:rPr>
          <w:i/>
        </w:rPr>
        <w:t>izvršenje</w:t>
      </w:r>
      <w:r>
        <w:rPr>
          <w:i/>
        </w:rPr>
        <w:t xml:space="preserve"> cjelovit</w:t>
      </w:r>
      <w:r w:rsidR="00592516">
        <w:rPr>
          <w:i/>
        </w:rPr>
        <w:t>e</w:t>
      </w:r>
      <w:r>
        <w:rPr>
          <w:i/>
        </w:rPr>
        <w:t xml:space="preserve"> obnov</w:t>
      </w:r>
      <w:r w:rsidR="00592516">
        <w:rPr>
          <w:i/>
        </w:rPr>
        <w:t>e</w:t>
      </w:r>
      <w:r>
        <w:rPr>
          <w:i/>
        </w:rPr>
        <w:t xml:space="preserve"> zgrada Fakulteta sjever, jug i istok </w:t>
      </w:r>
      <w:r w:rsidR="00592516">
        <w:rPr>
          <w:i/>
        </w:rPr>
        <w:t xml:space="preserve">bilo je </w:t>
      </w:r>
      <w:r w:rsidRPr="00ED6546">
        <w:rPr>
          <w:i/>
        </w:rPr>
        <w:t>iz izvora 5761 Fond solidarnosti Europske unije- potres ožujak 2020</w:t>
      </w:r>
      <w:r w:rsidR="00592516" w:rsidRPr="00ED6546">
        <w:rPr>
          <w:i/>
        </w:rPr>
        <w:t>, dok se u 2024.</w:t>
      </w:r>
      <w:r w:rsidR="00666387" w:rsidRPr="00ED6546">
        <w:rPr>
          <w:i/>
        </w:rPr>
        <w:t xml:space="preserve"> i 2025. isto planira </w:t>
      </w:r>
      <w:r w:rsidR="00666387">
        <w:rPr>
          <w:i/>
        </w:rPr>
        <w:t>iz izvora 11.</w:t>
      </w:r>
    </w:p>
    <w:p w14:paraId="1F3747DA" w14:textId="77777777" w:rsidR="00786331" w:rsidRDefault="00786331">
      <w:pPr>
        <w:jc w:val="both"/>
        <w:rPr>
          <w:i/>
        </w:rPr>
      </w:pPr>
    </w:p>
    <w:p w14:paraId="1F3747DB" w14:textId="77777777" w:rsidR="00786331" w:rsidRDefault="00786331">
      <w:pPr>
        <w:jc w:val="both"/>
        <w:rPr>
          <w:i/>
        </w:rPr>
      </w:pPr>
    </w:p>
    <w:p w14:paraId="1F3747DC" w14:textId="2D796EF0" w:rsidR="00786331" w:rsidRDefault="002B2CC0">
      <w:pPr>
        <w:pBdr>
          <w:top w:val="dotted" w:sz="4" w:space="1" w:color="808080"/>
          <w:bottom w:val="dotted" w:sz="4" w:space="1" w:color="808080"/>
        </w:pBdr>
        <w:shd w:val="clear" w:color="auto" w:fill="D0CECE"/>
        <w:jc w:val="both"/>
      </w:pPr>
      <w:r>
        <w:rPr>
          <w:b/>
          <w:sz w:val="28"/>
          <w:szCs w:val="28"/>
        </w:rPr>
        <w:t xml:space="preserve">K679119 </w:t>
      </w:r>
      <w:r w:rsidR="00F42DE7">
        <w:rPr>
          <w:b/>
          <w:sz w:val="28"/>
          <w:szCs w:val="28"/>
        </w:rPr>
        <w:t>OBNOVA ZGRADA OŠTEĆENIH U POTRESU S ENERGETSKOM OBNOVOM-NPOO (C6.1.R1-12)</w:t>
      </w:r>
      <w:r>
        <w:t xml:space="preserve"> </w:t>
      </w:r>
    </w:p>
    <w:tbl>
      <w:tblPr>
        <w:tblStyle w:val="a6"/>
        <w:tblW w:w="9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989"/>
        <w:gridCol w:w="1138"/>
        <w:gridCol w:w="1275"/>
        <w:gridCol w:w="1134"/>
        <w:gridCol w:w="1276"/>
        <w:gridCol w:w="993"/>
      </w:tblGrid>
      <w:tr w:rsidR="00786331" w14:paraId="1F3747E5" w14:textId="77777777" w:rsidTr="00D02066">
        <w:trPr>
          <w:trHeight w:val="667"/>
        </w:trPr>
        <w:tc>
          <w:tcPr>
            <w:tcW w:w="2263" w:type="dxa"/>
            <w:shd w:val="clear" w:color="auto" w:fill="D0CECE"/>
          </w:tcPr>
          <w:p w14:paraId="1F3747DD" w14:textId="77777777" w:rsidR="00786331" w:rsidRDefault="00786331">
            <w:pPr>
              <w:jc w:val="both"/>
            </w:pPr>
          </w:p>
          <w:p w14:paraId="1F3747DE" w14:textId="77777777" w:rsidR="00786331" w:rsidRDefault="00786331">
            <w:pPr>
              <w:jc w:val="both"/>
            </w:pPr>
          </w:p>
        </w:tc>
        <w:tc>
          <w:tcPr>
            <w:tcW w:w="989" w:type="dxa"/>
            <w:shd w:val="clear" w:color="auto" w:fill="D0CECE"/>
            <w:vAlign w:val="center"/>
          </w:tcPr>
          <w:p w14:paraId="1F3747DF" w14:textId="76DB3452" w:rsidR="00786331" w:rsidRPr="00E300DF" w:rsidRDefault="00E300DF">
            <w:pPr>
              <w:jc w:val="center"/>
              <w:rPr>
                <w:sz w:val="20"/>
                <w:szCs w:val="20"/>
              </w:rPr>
            </w:pPr>
            <w:r w:rsidRPr="00E300DF">
              <w:rPr>
                <w:sz w:val="20"/>
                <w:szCs w:val="20"/>
              </w:rPr>
              <w:t>Izvršenje 202</w:t>
            </w:r>
            <w:r w:rsidR="008130CD">
              <w:rPr>
                <w:sz w:val="20"/>
                <w:szCs w:val="20"/>
              </w:rPr>
              <w:t>3</w:t>
            </w:r>
            <w:r w:rsidRPr="00E300DF">
              <w:rPr>
                <w:sz w:val="20"/>
                <w:szCs w:val="20"/>
              </w:rPr>
              <w:t>.</w:t>
            </w:r>
          </w:p>
        </w:tc>
        <w:tc>
          <w:tcPr>
            <w:tcW w:w="1138" w:type="dxa"/>
            <w:shd w:val="clear" w:color="auto" w:fill="D0CECE"/>
            <w:vAlign w:val="center"/>
          </w:tcPr>
          <w:p w14:paraId="1F3747E0" w14:textId="2528D882" w:rsidR="00786331" w:rsidRDefault="00663CD9">
            <w:pPr>
              <w:jc w:val="center"/>
            </w:pPr>
            <w:r>
              <w:t>Plan 202</w:t>
            </w:r>
            <w:r w:rsidR="008130CD">
              <w:t>4</w:t>
            </w:r>
            <w:r>
              <w:t>.</w:t>
            </w:r>
          </w:p>
        </w:tc>
        <w:tc>
          <w:tcPr>
            <w:tcW w:w="1275" w:type="dxa"/>
            <w:shd w:val="clear" w:color="auto" w:fill="D0CECE"/>
            <w:vAlign w:val="center"/>
          </w:tcPr>
          <w:p w14:paraId="1F3747E1" w14:textId="3D048D39" w:rsidR="00786331" w:rsidRDefault="002B2CC0">
            <w:pPr>
              <w:jc w:val="center"/>
            </w:pPr>
            <w:r>
              <w:t>Plan 202</w:t>
            </w:r>
            <w:r w:rsidR="008130CD">
              <w:t>5</w:t>
            </w:r>
            <w:r>
              <w:t>.</w:t>
            </w:r>
          </w:p>
        </w:tc>
        <w:tc>
          <w:tcPr>
            <w:tcW w:w="1134" w:type="dxa"/>
            <w:shd w:val="clear" w:color="auto" w:fill="D0CECE"/>
            <w:vAlign w:val="center"/>
          </w:tcPr>
          <w:p w14:paraId="1F3747E2" w14:textId="13F551DB" w:rsidR="00786331" w:rsidRDefault="002B2CC0">
            <w:pPr>
              <w:jc w:val="center"/>
            </w:pPr>
            <w:r>
              <w:t>Plan 202</w:t>
            </w:r>
            <w:r w:rsidR="008130CD">
              <w:t>6</w:t>
            </w:r>
            <w:r>
              <w:t>.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1F3747E3" w14:textId="76B5F2CC" w:rsidR="00786331" w:rsidRDefault="002B2CC0">
            <w:pPr>
              <w:jc w:val="center"/>
            </w:pPr>
            <w:r>
              <w:t>Plan 202</w:t>
            </w:r>
            <w:r w:rsidR="008130CD">
              <w:t>7</w:t>
            </w:r>
            <w:r>
              <w:t>.</w:t>
            </w:r>
          </w:p>
        </w:tc>
        <w:tc>
          <w:tcPr>
            <w:tcW w:w="993" w:type="dxa"/>
            <w:shd w:val="clear" w:color="auto" w:fill="D0CECE"/>
            <w:vAlign w:val="center"/>
          </w:tcPr>
          <w:p w14:paraId="1F3747E4" w14:textId="0F2D9A22" w:rsidR="00786331" w:rsidRDefault="002B2CC0">
            <w:pPr>
              <w:jc w:val="center"/>
            </w:pPr>
            <w:r>
              <w:t>Indeks 2</w:t>
            </w:r>
            <w:r w:rsidR="00A47B97">
              <w:t>4</w:t>
            </w:r>
            <w:r>
              <w:t>./2</w:t>
            </w:r>
            <w:r w:rsidR="00A47B97">
              <w:t>3</w:t>
            </w:r>
            <w:r>
              <w:t>.</w:t>
            </w:r>
          </w:p>
        </w:tc>
      </w:tr>
      <w:tr w:rsidR="00786331" w14:paraId="1F3747ED" w14:textId="77777777" w:rsidTr="00D02066">
        <w:tc>
          <w:tcPr>
            <w:tcW w:w="2263" w:type="dxa"/>
          </w:tcPr>
          <w:p w14:paraId="1F3747E6" w14:textId="77777777" w:rsidR="00786331" w:rsidRDefault="002B2CC0">
            <w:r>
              <w:t>K679119OBNOVA INFRASTRUKTURE I OPREME U PODRUČJU OBRAZOVANJA OŠTEĆENE POTRESOM</w:t>
            </w:r>
          </w:p>
        </w:tc>
        <w:tc>
          <w:tcPr>
            <w:tcW w:w="989" w:type="dxa"/>
          </w:tcPr>
          <w:p w14:paraId="1F3747E7" w14:textId="77777777" w:rsidR="00786331" w:rsidRDefault="00786331" w:rsidP="00A47B97">
            <w:pPr>
              <w:jc w:val="both"/>
            </w:pPr>
          </w:p>
        </w:tc>
        <w:tc>
          <w:tcPr>
            <w:tcW w:w="1138" w:type="dxa"/>
          </w:tcPr>
          <w:p w14:paraId="2C3D9F6F" w14:textId="7E50A368" w:rsidR="00A47B97" w:rsidRPr="00D02066" w:rsidRDefault="008130CD" w:rsidP="00A47B9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16.020</w:t>
            </w:r>
            <w:r w:rsidR="00253EE2">
              <w:rPr>
                <w:rFonts w:ascii="Arial" w:hAnsi="Arial" w:cs="Arial"/>
                <w:b/>
                <w:bCs/>
                <w:sz w:val="18"/>
                <w:szCs w:val="18"/>
              </w:rPr>
              <w:t>.785</w:t>
            </w:r>
          </w:p>
          <w:p w14:paraId="1F3747E8" w14:textId="77777777" w:rsidR="00786331" w:rsidRPr="00D02066" w:rsidRDefault="00786331" w:rsidP="00A47B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DFDEC30" w14:textId="0780790F" w:rsidR="00A47B97" w:rsidRPr="00D02066" w:rsidRDefault="00253EE2" w:rsidP="00A47B9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9.000.000</w:t>
            </w:r>
          </w:p>
          <w:p w14:paraId="1F3747E9" w14:textId="35035F2B" w:rsidR="00786331" w:rsidRPr="00D02066" w:rsidRDefault="00786331" w:rsidP="004A12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3747EA" w14:textId="0188D91F" w:rsidR="00786331" w:rsidRPr="00D02066" w:rsidRDefault="002B2CC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206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1F3747EB" w14:textId="24BDB966" w:rsidR="00786331" w:rsidRPr="00D02066" w:rsidRDefault="0078633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1F3747EC" w14:textId="4AA3E55D" w:rsidR="00786331" w:rsidRPr="00A47B97" w:rsidRDefault="00EE01F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1F374809" w14:textId="0EFE3AD4" w:rsidR="00786331" w:rsidRDefault="002B2CC0" w:rsidP="00195F96">
      <w:pPr>
        <w:jc w:val="both"/>
        <w:rPr>
          <w:i/>
        </w:rPr>
      </w:pPr>
      <w:r>
        <w:rPr>
          <w:i/>
        </w:rPr>
        <w:t>U 202</w:t>
      </w:r>
      <w:r w:rsidR="00A47B97">
        <w:rPr>
          <w:i/>
        </w:rPr>
        <w:t>4</w:t>
      </w:r>
      <w:r>
        <w:rPr>
          <w:i/>
        </w:rPr>
        <w:t xml:space="preserve">. godini </w:t>
      </w:r>
      <w:r w:rsidR="00D02066">
        <w:rPr>
          <w:i/>
        </w:rPr>
        <w:t>ukinut je izvor</w:t>
      </w:r>
      <w:r>
        <w:rPr>
          <w:i/>
        </w:rPr>
        <w:t xml:space="preserve"> 581 Mehanizam za oporavak i otpornost</w:t>
      </w:r>
      <w:r w:rsidR="00F8771B">
        <w:rPr>
          <w:i/>
        </w:rPr>
        <w:t xml:space="preserve"> za cjelovitu obnovu</w:t>
      </w:r>
      <w:r w:rsidR="00D02066">
        <w:rPr>
          <w:i/>
        </w:rPr>
        <w:t>, a financiranje je redistribuirano na izvore 11 i 815</w:t>
      </w:r>
      <w:r w:rsidR="00157C52">
        <w:rPr>
          <w:i/>
        </w:rPr>
        <w:t>, dok u 2025.g.</w:t>
      </w:r>
      <w:r w:rsidR="00A54CB8">
        <w:rPr>
          <w:i/>
        </w:rPr>
        <w:t xml:space="preserve"> cjelokupno financiranje je na izvoru 815.</w:t>
      </w:r>
    </w:p>
    <w:p w14:paraId="1F37480A" w14:textId="53F356DD" w:rsidR="00786331" w:rsidRDefault="00786331">
      <w:pPr>
        <w:jc w:val="both"/>
        <w:rPr>
          <w:i/>
        </w:rPr>
      </w:pPr>
    </w:p>
    <w:p w14:paraId="480EB629" w14:textId="108EE526" w:rsidR="00A734A8" w:rsidRDefault="00A734A8" w:rsidP="00A734A8">
      <w:pPr>
        <w:pBdr>
          <w:top w:val="dotted" w:sz="4" w:space="1" w:color="808080"/>
          <w:bottom w:val="dotted" w:sz="4" w:space="1" w:color="808080"/>
        </w:pBdr>
        <w:shd w:val="clear" w:color="auto" w:fill="D0CECE"/>
        <w:jc w:val="both"/>
      </w:pPr>
      <w:r>
        <w:rPr>
          <w:b/>
          <w:sz w:val="28"/>
          <w:szCs w:val="28"/>
        </w:rPr>
        <w:t>K679084 O</w:t>
      </w:r>
      <w:r w:rsidR="006544AF">
        <w:rPr>
          <w:b/>
          <w:sz w:val="28"/>
          <w:szCs w:val="28"/>
        </w:rPr>
        <w:t>P konkurentnost i kohezija</w:t>
      </w:r>
      <w:r>
        <w:t xml:space="preserve"> </w:t>
      </w:r>
    </w:p>
    <w:tbl>
      <w:tblPr>
        <w:tblStyle w:val="a6"/>
        <w:tblW w:w="9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847"/>
        <w:gridCol w:w="1138"/>
        <w:gridCol w:w="1275"/>
        <w:gridCol w:w="1134"/>
        <w:gridCol w:w="1276"/>
        <w:gridCol w:w="993"/>
      </w:tblGrid>
      <w:tr w:rsidR="00A734A8" w14:paraId="332AA86F" w14:textId="77777777" w:rsidTr="00A45889">
        <w:trPr>
          <w:trHeight w:val="667"/>
        </w:trPr>
        <w:tc>
          <w:tcPr>
            <w:tcW w:w="2405" w:type="dxa"/>
            <w:shd w:val="clear" w:color="auto" w:fill="D0CECE"/>
          </w:tcPr>
          <w:p w14:paraId="776F1D08" w14:textId="77777777" w:rsidR="00A734A8" w:rsidRDefault="00A734A8" w:rsidP="00927E47">
            <w:pPr>
              <w:jc w:val="both"/>
            </w:pPr>
          </w:p>
          <w:p w14:paraId="7CB9A973" w14:textId="77777777" w:rsidR="00A734A8" w:rsidRDefault="00A734A8" w:rsidP="00927E47">
            <w:pPr>
              <w:jc w:val="both"/>
            </w:pPr>
          </w:p>
        </w:tc>
        <w:tc>
          <w:tcPr>
            <w:tcW w:w="847" w:type="dxa"/>
            <w:shd w:val="clear" w:color="auto" w:fill="D0CECE"/>
            <w:vAlign w:val="center"/>
          </w:tcPr>
          <w:p w14:paraId="79A69031" w14:textId="0EBC60B1" w:rsidR="00A734A8" w:rsidRPr="00E300DF" w:rsidRDefault="00A734A8" w:rsidP="00927E47">
            <w:pPr>
              <w:jc w:val="center"/>
              <w:rPr>
                <w:sz w:val="20"/>
                <w:szCs w:val="20"/>
              </w:rPr>
            </w:pPr>
            <w:r w:rsidRPr="00E300DF">
              <w:rPr>
                <w:sz w:val="20"/>
                <w:szCs w:val="20"/>
              </w:rPr>
              <w:t>Izvršenje 202</w:t>
            </w:r>
            <w:r w:rsidR="00C61C75">
              <w:rPr>
                <w:sz w:val="20"/>
                <w:szCs w:val="20"/>
              </w:rPr>
              <w:t>3</w:t>
            </w:r>
            <w:r w:rsidRPr="00E300DF">
              <w:rPr>
                <w:sz w:val="20"/>
                <w:szCs w:val="20"/>
              </w:rPr>
              <w:t>.</w:t>
            </w:r>
          </w:p>
        </w:tc>
        <w:tc>
          <w:tcPr>
            <w:tcW w:w="1138" w:type="dxa"/>
            <w:shd w:val="clear" w:color="auto" w:fill="D0CECE"/>
            <w:vAlign w:val="center"/>
          </w:tcPr>
          <w:p w14:paraId="05F6ABE7" w14:textId="12AA164F" w:rsidR="00A734A8" w:rsidRDefault="00A734A8" w:rsidP="00927E47">
            <w:pPr>
              <w:jc w:val="center"/>
            </w:pPr>
            <w:r>
              <w:t>Plan 202</w:t>
            </w:r>
            <w:r w:rsidR="00C61C75">
              <w:t>4</w:t>
            </w:r>
            <w:r>
              <w:t>.</w:t>
            </w:r>
          </w:p>
        </w:tc>
        <w:tc>
          <w:tcPr>
            <w:tcW w:w="1275" w:type="dxa"/>
            <w:shd w:val="clear" w:color="auto" w:fill="D0CECE"/>
            <w:vAlign w:val="center"/>
          </w:tcPr>
          <w:p w14:paraId="632D7962" w14:textId="3C6DEA92" w:rsidR="00A734A8" w:rsidRDefault="00A734A8" w:rsidP="00927E47">
            <w:pPr>
              <w:jc w:val="center"/>
            </w:pPr>
            <w:r>
              <w:t>Plan 202</w:t>
            </w:r>
            <w:r w:rsidR="00C61C75">
              <w:t>5</w:t>
            </w:r>
            <w:r>
              <w:t>.</w:t>
            </w:r>
          </w:p>
        </w:tc>
        <w:tc>
          <w:tcPr>
            <w:tcW w:w="1134" w:type="dxa"/>
            <w:shd w:val="clear" w:color="auto" w:fill="D0CECE"/>
            <w:vAlign w:val="center"/>
          </w:tcPr>
          <w:p w14:paraId="629694D8" w14:textId="4B68A191" w:rsidR="00A734A8" w:rsidRDefault="00A734A8" w:rsidP="00927E47">
            <w:pPr>
              <w:jc w:val="center"/>
            </w:pPr>
            <w:r>
              <w:t>Plan 202</w:t>
            </w:r>
            <w:r w:rsidR="00C61C75">
              <w:t>6</w:t>
            </w:r>
            <w:r>
              <w:t>.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45D9000E" w14:textId="2C2A40F0" w:rsidR="00A734A8" w:rsidRDefault="00A734A8" w:rsidP="00927E47">
            <w:pPr>
              <w:jc w:val="center"/>
            </w:pPr>
            <w:r>
              <w:t>Plan 202</w:t>
            </w:r>
            <w:r w:rsidR="00C61C75">
              <w:t>7</w:t>
            </w:r>
            <w:r>
              <w:t>.</w:t>
            </w:r>
          </w:p>
        </w:tc>
        <w:tc>
          <w:tcPr>
            <w:tcW w:w="993" w:type="dxa"/>
            <w:shd w:val="clear" w:color="auto" w:fill="D0CECE"/>
            <w:vAlign w:val="center"/>
          </w:tcPr>
          <w:p w14:paraId="30E3EDE8" w14:textId="77777777" w:rsidR="00A734A8" w:rsidRDefault="00A734A8" w:rsidP="00927E47">
            <w:pPr>
              <w:jc w:val="center"/>
            </w:pPr>
            <w:r>
              <w:t>Indeks 24./23.</w:t>
            </w:r>
          </w:p>
        </w:tc>
      </w:tr>
      <w:tr w:rsidR="00A734A8" w14:paraId="71CA14AB" w14:textId="77777777" w:rsidTr="00A45889">
        <w:tc>
          <w:tcPr>
            <w:tcW w:w="2405" w:type="dxa"/>
          </w:tcPr>
          <w:p w14:paraId="068C8B49" w14:textId="47E4FA99" w:rsidR="00A734A8" w:rsidRDefault="00A734A8" w:rsidP="006544AF">
            <w:r>
              <w:t>K679</w:t>
            </w:r>
            <w:r w:rsidR="006544AF">
              <w:t>084 OP KONKURENTNOST I KOHEZIJA</w:t>
            </w:r>
          </w:p>
        </w:tc>
        <w:tc>
          <w:tcPr>
            <w:tcW w:w="847" w:type="dxa"/>
          </w:tcPr>
          <w:p w14:paraId="58C824A4" w14:textId="77777777" w:rsidR="00A734A8" w:rsidRDefault="00A734A8" w:rsidP="00927E47">
            <w:pPr>
              <w:jc w:val="both"/>
            </w:pPr>
          </w:p>
        </w:tc>
        <w:tc>
          <w:tcPr>
            <w:tcW w:w="1138" w:type="dxa"/>
          </w:tcPr>
          <w:p w14:paraId="5E1C63AF" w14:textId="39F211DA" w:rsidR="00A734A8" w:rsidRPr="00D02066" w:rsidRDefault="00C61C75" w:rsidP="00927E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54.734</w:t>
            </w:r>
          </w:p>
        </w:tc>
        <w:tc>
          <w:tcPr>
            <w:tcW w:w="1275" w:type="dxa"/>
          </w:tcPr>
          <w:p w14:paraId="7AFFFBFF" w14:textId="77777777" w:rsidR="00A734A8" w:rsidRPr="00D02066" w:rsidRDefault="00A734A8" w:rsidP="00C61C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735F06" w14:textId="4E8921C5" w:rsidR="00A734A8" w:rsidRPr="00D02066" w:rsidRDefault="00A734A8" w:rsidP="00927E4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A113D9F" w14:textId="39CED333" w:rsidR="00A734A8" w:rsidRPr="00D02066" w:rsidRDefault="00A734A8" w:rsidP="00927E4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3275F1CD" w14:textId="4A076EED" w:rsidR="00A734A8" w:rsidRPr="00A47B97" w:rsidRDefault="00A734A8" w:rsidP="00A45889">
            <w:pPr>
              <w:jc w:val="both"/>
              <w:rPr>
                <w:b/>
                <w:bCs/>
              </w:rPr>
            </w:pPr>
          </w:p>
        </w:tc>
      </w:tr>
    </w:tbl>
    <w:p w14:paraId="39582DE2" w14:textId="06E50987" w:rsidR="002B2CC0" w:rsidRDefault="002B2CC0">
      <w:pPr>
        <w:jc w:val="both"/>
        <w:rPr>
          <w:i/>
        </w:rPr>
      </w:pPr>
    </w:p>
    <w:p w14:paraId="1F37480B" w14:textId="11D768AD" w:rsidR="00786331" w:rsidRPr="00195F96" w:rsidRDefault="00A734A8">
      <w:pPr>
        <w:spacing w:before="240"/>
        <w:jc w:val="both"/>
      </w:pPr>
      <w:r>
        <w:t>Aktivnost/</w:t>
      </w:r>
      <w:r w:rsidR="002B2CC0" w:rsidRPr="00195F96">
        <w:t>projekt</w:t>
      </w:r>
      <w:r>
        <w:t xml:space="preserve"> </w:t>
      </w:r>
      <w:r w:rsidRPr="00A734A8">
        <w:rPr>
          <w:b/>
        </w:rPr>
        <w:t>A6790</w:t>
      </w:r>
      <w:r w:rsidR="00DD2085">
        <w:rPr>
          <w:b/>
        </w:rPr>
        <w:t>7</w:t>
      </w:r>
      <w:r w:rsidRPr="00A734A8">
        <w:rPr>
          <w:b/>
        </w:rPr>
        <w:t>8</w:t>
      </w:r>
      <w:r w:rsidR="002B2CC0" w:rsidRPr="00A734A8">
        <w:rPr>
          <w:b/>
        </w:rPr>
        <w:t xml:space="preserve"> </w:t>
      </w:r>
      <w:r w:rsidR="00F42DE7">
        <w:t xml:space="preserve"> u ukupnom iznosu  </w:t>
      </w:r>
      <w:r w:rsidR="00F8771B">
        <w:t>1.181.063</w:t>
      </w:r>
      <w:r w:rsidR="00181BC5" w:rsidRPr="00181BC5">
        <w:t xml:space="preserve"> </w:t>
      </w:r>
      <w:r w:rsidR="00F42DE7">
        <w:t>eura</w:t>
      </w:r>
      <w:r>
        <w:t xml:space="preserve"> za 202</w:t>
      </w:r>
      <w:r w:rsidR="008861C1">
        <w:t>5</w:t>
      </w:r>
      <w:r>
        <w:t>. godinu</w:t>
      </w:r>
      <w:r w:rsidR="00F42DE7">
        <w:t xml:space="preserve"> </w:t>
      </w:r>
      <w:r w:rsidR="002B2CC0" w:rsidRPr="00195F96">
        <w:t>sastoji se od sljedećih podprojekata:</w:t>
      </w:r>
    </w:p>
    <w:p w14:paraId="732413B6" w14:textId="77777777" w:rsidR="00195F96" w:rsidRDefault="00195F96">
      <w:pPr>
        <w:spacing w:before="240"/>
        <w:jc w:val="both"/>
        <w:rPr>
          <w:color w:val="FF0000"/>
        </w:rPr>
      </w:pPr>
    </w:p>
    <w:p w14:paraId="47536547" w14:textId="1EBFDD48" w:rsidR="00195F96" w:rsidRPr="00DF7FCA" w:rsidRDefault="008861C1" w:rsidP="00195F96">
      <w:pPr>
        <w:numPr>
          <w:ilvl w:val="0"/>
          <w:numId w:val="3"/>
        </w:numPr>
        <w:spacing w:line="259" w:lineRule="auto"/>
        <w:jc w:val="both"/>
      </w:pPr>
      <w:bookmarkStart w:id="2" w:name="_Hlk147481077"/>
      <w:r w:rsidRPr="00195F96">
        <w:t>NOVI PODPROJEKT</w:t>
      </w:r>
      <w:r>
        <w:t xml:space="preserve"> (INTERREG); </w:t>
      </w:r>
      <w:r w:rsidRPr="008861C1">
        <w:rPr>
          <w:b/>
          <w:bCs/>
        </w:rPr>
        <w:t>AGRI DIGITAL GROWTH</w:t>
      </w:r>
      <w:r w:rsidRPr="008861C1">
        <w:t xml:space="preserve"> - Precision Farming Ecosystem for Digital Skills enhancement across CE, to support digitalisation, sustainability and specialisation of Agri food manufacturing SMEs in Precision Farming</w:t>
      </w:r>
      <w:r>
        <w:t xml:space="preserve">; izvor 51, </w:t>
      </w:r>
      <w:r w:rsidRPr="00195F96">
        <w:t>iznos planiranih sredstava za</w:t>
      </w:r>
      <w:r>
        <w:t xml:space="preserve"> 2025. </w:t>
      </w:r>
      <w:r w:rsidRPr="00DF7FCA">
        <w:t>godinu 27.517,00 EUR (plaće za redovan rad i službena putovanja).</w:t>
      </w:r>
    </w:p>
    <w:p w14:paraId="632FC74A" w14:textId="4198E521" w:rsidR="008861C1" w:rsidRDefault="008861C1" w:rsidP="00195F96">
      <w:pPr>
        <w:numPr>
          <w:ilvl w:val="0"/>
          <w:numId w:val="3"/>
        </w:numPr>
        <w:spacing w:line="259" w:lineRule="auto"/>
        <w:jc w:val="both"/>
      </w:pPr>
      <w:r w:rsidRPr="00195F96">
        <w:t>NOVI PODPROJEKT</w:t>
      </w:r>
      <w:r>
        <w:t xml:space="preserve"> (INTERREG), </w:t>
      </w:r>
      <w:r w:rsidRPr="008861C1">
        <w:rPr>
          <w:b/>
          <w:bCs/>
        </w:rPr>
        <w:t>BRIGANTINE</w:t>
      </w:r>
      <w:r w:rsidRPr="008861C1">
        <w:t>- Chemico-Physical and Multispectral Data Fusion For Adriatic Sea Monitoring by Autonomous Vessel</w:t>
      </w:r>
      <w:r>
        <w:t xml:space="preserve">; izvor </w:t>
      </w:r>
      <w:r>
        <w:lastRenderedPageBreak/>
        <w:t xml:space="preserve">21, </w:t>
      </w:r>
      <w:r w:rsidRPr="00195F96">
        <w:t>iznos planiranih sredstava za</w:t>
      </w:r>
      <w:r>
        <w:t xml:space="preserve"> 2025. </w:t>
      </w:r>
      <w:r w:rsidRPr="00DF7FCA">
        <w:t>godinu 86.736,00 EUR (plaće</w:t>
      </w:r>
      <w:r>
        <w:t xml:space="preserve"> za redovan rad, sl. putovanja, instrumenti,uređaji i strojevi).</w:t>
      </w:r>
    </w:p>
    <w:p w14:paraId="085B2FE8" w14:textId="484042CB" w:rsidR="008861C1" w:rsidRPr="00195F96" w:rsidRDefault="008861C1" w:rsidP="008861C1">
      <w:pPr>
        <w:pStyle w:val="Odlomakpopis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861C1">
        <w:rPr>
          <w:rFonts w:ascii="Times New Roman" w:eastAsia="Times New Roman" w:hAnsi="Times New Roman" w:cs="Times New Roman"/>
          <w:sz w:val="24"/>
          <w:szCs w:val="24"/>
          <w:lang w:eastAsia="en-GB"/>
        </w:rPr>
        <w:t>A679078.904</w:t>
      </w:r>
      <w:r w:rsidRPr="00195F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(HORIZON EUROPE)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  <w:r w:rsidRPr="00195F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8861C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COMMUNITAS </w:t>
      </w:r>
      <w:r w:rsidRPr="001A705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Bound </w:t>
      </w:r>
      <w:r w:rsidRPr="00195F96">
        <w:rPr>
          <w:rFonts w:ascii="Times New Roman" w:eastAsia="Times New Roman" w:hAnsi="Times New Roman" w:cs="Times New Roman"/>
          <w:sz w:val="24"/>
          <w:szCs w:val="24"/>
          <w:lang w:eastAsia="en-GB"/>
        </w:rPr>
        <w:t>to accelerate the roll-out and expansion of Energy Communities and empower consumers as fully-fledged energy market players; izvor 51, iznos planiranih sredstava u 202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5</w:t>
      </w:r>
      <w:r w:rsidRPr="00195F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godini </w:t>
      </w:r>
      <w:r w:rsidRPr="00DF7FCA">
        <w:rPr>
          <w:rFonts w:ascii="Times New Roman" w:eastAsia="Times New Roman" w:hAnsi="Times New Roman" w:cs="Times New Roman"/>
          <w:sz w:val="24"/>
          <w:szCs w:val="24"/>
          <w:lang w:eastAsia="en-GB"/>
        </w:rPr>
        <w:t>je 51.000,00 EUR (plaće, službena putovanja i intelektualne usluge, ostali nespomenuti rashodi</w:t>
      </w:r>
      <w:r w:rsidRPr="00195F96">
        <w:rPr>
          <w:rFonts w:ascii="Times New Roman" w:eastAsia="Times New Roman" w:hAnsi="Times New Roman" w:cs="Times New Roman"/>
          <w:sz w:val="24"/>
          <w:szCs w:val="24"/>
          <w:lang w:eastAsia="en-GB"/>
        </w:rPr>
        <w:t>).</w:t>
      </w:r>
    </w:p>
    <w:p w14:paraId="04F00E24" w14:textId="2FA6416D" w:rsidR="008861C1" w:rsidRPr="00DF7FCA" w:rsidRDefault="008861C1" w:rsidP="00195F96">
      <w:pPr>
        <w:numPr>
          <w:ilvl w:val="0"/>
          <w:numId w:val="3"/>
        </w:numPr>
        <w:spacing w:line="259" w:lineRule="auto"/>
        <w:jc w:val="both"/>
      </w:pPr>
      <w:bookmarkStart w:id="3" w:name="_Hlk182227588"/>
      <w:r w:rsidRPr="00195F96">
        <w:t>NOVI PODPROJEKT</w:t>
      </w:r>
      <w:r>
        <w:t xml:space="preserve"> </w:t>
      </w:r>
      <w:bookmarkEnd w:id="3"/>
      <w:r>
        <w:t xml:space="preserve">(LIFE); </w:t>
      </w:r>
      <w:r w:rsidRPr="008861C1">
        <w:rPr>
          <w:b/>
          <w:bCs/>
        </w:rPr>
        <w:t>CROSS</w:t>
      </w:r>
      <w:r w:rsidRPr="008861C1">
        <w:t xml:space="preserve"> - Establishment of CRoatian One-Stop-Shop facility in North-West Croatia</w:t>
      </w:r>
      <w:r>
        <w:t xml:space="preserve">, </w:t>
      </w:r>
      <w:r w:rsidRPr="00195F96">
        <w:t>izvor 51, iznos planiranih sredstava u 202</w:t>
      </w:r>
      <w:r>
        <w:t>5</w:t>
      </w:r>
      <w:r w:rsidRPr="00195F96">
        <w:t>. godini je</w:t>
      </w:r>
      <w:r>
        <w:t xml:space="preserve"> </w:t>
      </w:r>
      <w:r w:rsidRPr="00DF7FCA">
        <w:t>18.400,00 EIR (plaće za redovan rad i službena putovanja).</w:t>
      </w:r>
    </w:p>
    <w:p w14:paraId="68A6D815" w14:textId="77777777" w:rsidR="008861C1" w:rsidRDefault="008861C1" w:rsidP="008861C1">
      <w:pPr>
        <w:spacing w:line="259" w:lineRule="auto"/>
        <w:ind w:left="720"/>
        <w:jc w:val="both"/>
      </w:pPr>
    </w:p>
    <w:p w14:paraId="409B4F7A" w14:textId="19E0C026" w:rsidR="008861C1" w:rsidRPr="00DF7FCA" w:rsidRDefault="001F67C5" w:rsidP="008861C1">
      <w:pPr>
        <w:pStyle w:val="Odlomakpopis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F67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A679078.902 </w:t>
      </w:r>
      <w:r w:rsidR="008861C1" w:rsidRPr="00195F96">
        <w:rPr>
          <w:rFonts w:ascii="Times New Roman" w:eastAsia="Times New Roman" w:hAnsi="Times New Roman" w:cs="Times New Roman"/>
          <w:sz w:val="24"/>
          <w:szCs w:val="24"/>
          <w:lang w:eastAsia="en-GB"/>
        </w:rPr>
        <w:t>(HORIZON EUROPE)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1F67C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DAWETREST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-</w:t>
      </w:r>
      <w:r w:rsidR="008861C1" w:rsidRPr="00195F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Danube Wetlands and flood plains Restoration through systemic, community engaged and sustainable innovative actions; izvor 51, iznos planiranih sredstava za 202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5</w:t>
      </w:r>
      <w:r w:rsidR="008861C1" w:rsidRPr="00195F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 w:rsidR="008861C1" w:rsidRPr="00DF7FCA">
        <w:rPr>
          <w:rFonts w:ascii="Times New Roman" w:eastAsia="Times New Roman" w:hAnsi="Times New Roman" w:cs="Times New Roman"/>
          <w:sz w:val="24"/>
          <w:szCs w:val="24"/>
          <w:lang w:eastAsia="en-GB"/>
        </w:rPr>
        <w:t>godinu 3</w:t>
      </w:r>
      <w:r w:rsidRPr="00DF7FCA">
        <w:rPr>
          <w:rFonts w:ascii="Times New Roman" w:eastAsia="Times New Roman" w:hAnsi="Times New Roman" w:cs="Times New Roman"/>
          <w:sz w:val="24"/>
          <w:szCs w:val="24"/>
          <w:lang w:eastAsia="en-GB"/>
        </w:rPr>
        <w:t>1</w:t>
      </w:r>
      <w:r w:rsidR="008861C1" w:rsidRPr="00DF7FCA">
        <w:rPr>
          <w:rFonts w:ascii="Times New Roman" w:eastAsia="Times New Roman" w:hAnsi="Times New Roman" w:cs="Times New Roman"/>
          <w:sz w:val="24"/>
          <w:szCs w:val="24"/>
          <w:lang w:eastAsia="en-GB"/>
        </w:rPr>
        <w:t>.0</w:t>
      </w:r>
      <w:r w:rsidRPr="00DF7FCA">
        <w:rPr>
          <w:rFonts w:ascii="Times New Roman" w:eastAsia="Times New Roman" w:hAnsi="Times New Roman" w:cs="Times New Roman"/>
          <w:sz w:val="24"/>
          <w:szCs w:val="24"/>
          <w:lang w:eastAsia="en-GB"/>
        </w:rPr>
        <w:t>1</w:t>
      </w:r>
      <w:r w:rsidR="008861C1" w:rsidRPr="00DF7FC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0,00 EUR (službena putovanja, </w:t>
      </w:r>
      <w:r w:rsidRPr="00DF7FCA">
        <w:rPr>
          <w:rFonts w:ascii="Times New Roman" w:eastAsia="Times New Roman" w:hAnsi="Times New Roman" w:cs="Times New Roman"/>
          <w:sz w:val="24"/>
          <w:szCs w:val="24"/>
          <w:lang w:eastAsia="en-GB"/>
        </w:rPr>
        <w:t>plaće za redovan rad</w:t>
      </w:r>
      <w:r w:rsidR="008861C1" w:rsidRPr="00DF7FCA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  <w:r w:rsidRPr="00DF7FCA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60536E3" w14:textId="4C1D44AF" w:rsidR="001F67C5" w:rsidRDefault="001F67C5" w:rsidP="001F67C5">
      <w:pPr>
        <w:pStyle w:val="Odlomakpopisa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F67C5">
        <w:rPr>
          <w:rFonts w:ascii="Times New Roman" w:hAnsi="Times New Roman" w:cs="Times New Roman"/>
          <w:sz w:val="24"/>
          <w:szCs w:val="24"/>
        </w:rPr>
        <w:t xml:space="preserve">NOVI PODPROJEKT (ERASMUS+ ) </w:t>
      </w:r>
      <w:r w:rsidRPr="001F67C5">
        <w:rPr>
          <w:rFonts w:ascii="Times New Roman" w:hAnsi="Times New Roman" w:cs="Times New Roman"/>
          <w:b/>
          <w:bCs/>
          <w:sz w:val="24"/>
          <w:szCs w:val="24"/>
        </w:rPr>
        <w:t>DETAILLS</w:t>
      </w:r>
      <w:r w:rsidRPr="001F67C5">
        <w:rPr>
          <w:rFonts w:ascii="Times New Roman" w:hAnsi="Times New Roman" w:cs="Times New Roman"/>
          <w:sz w:val="24"/>
          <w:szCs w:val="24"/>
        </w:rPr>
        <w:t xml:space="preserve"> - DEsign Tools of Artificial Intelligence in sustainability Living LabS, </w:t>
      </w:r>
      <w:r w:rsidRPr="001F67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izvor 51, iznos planiranih sredstava za 2025. </w:t>
      </w:r>
      <w:r w:rsidRPr="00DF7FCA">
        <w:rPr>
          <w:rFonts w:ascii="Times New Roman" w:eastAsia="Times New Roman" w:hAnsi="Times New Roman" w:cs="Times New Roman"/>
          <w:sz w:val="24"/>
          <w:szCs w:val="24"/>
          <w:lang w:eastAsia="en-GB"/>
        </w:rPr>
        <w:t>godinu</w:t>
      </w:r>
      <w:r w:rsidRPr="00DF7FCA">
        <w:rPr>
          <w:rFonts w:ascii="Times New Roman" w:hAnsi="Times New Roman" w:cs="Times New Roman"/>
          <w:sz w:val="24"/>
          <w:szCs w:val="24"/>
        </w:rPr>
        <w:t xml:space="preserve"> 10.000,00 EUR</w:t>
      </w:r>
      <w:r w:rsidRPr="001F67C5">
        <w:rPr>
          <w:rFonts w:ascii="Times New Roman" w:hAnsi="Times New Roman" w:cs="Times New Roman"/>
          <w:sz w:val="24"/>
          <w:szCs w:val="24"/>
        </w:rPr>
        <w:t xml:space="preserve"> </w:t>
      </w:r>
      <w:r w:rsidRPr="001F67C5">
        <w:rPr>
          <w:rFonts w:ascii="Times New Roman" w:eastAsia="Times New Roman" w:hAnsi="Times New Roman" w:cs="Times New Roman"/>
          <w:sz w:val="24"/>
          <w:szCs w:val="24"/>
          <w:lang w:eastAsia="en-GB"/>
        </w:rPr>
        <w:t>(službena putovanja, plaće za redovan rad)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2093382B" w14:textId="77777777" w:rsidR="001F67C5" w:rsidRPr="001F67C5" w:rsidRDefault="001F67C5" w:rsidP="001F67C5">
      <w:pPr>
        <w:pStyle w:val="Odlomakpopisa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E7B9B1F" w14:textId="36C203EC" w:rsidR="001F67C5" w:rsidRPr="00195F96" w:rsidRDefault="001F67C5" w:rsidP="001F67C5">
      <w:pPr>
        <w:pStyle w:val="Odlomakpopis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95F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A679078.716 (HORIZON EUROPE) </w:t>
      </w:r>
      <w:r w:rsidRPr="001F67C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ECO DALI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- </w:t>
      </w:r>
      <w:r w:rsidRPr="00195F96">
        <w:rPr>
          <w:rFonts w:ascii="Times New Roman" w:eastAsia="Times New Roman" w:hAnsi="Times New Roman" w:cs="Times New Roman"/>
          <w:sz w:val="24"/>
          <w:szCs w:val="24"/>
          <w:lang w:eastAsia="en-GB"/>
        </w:rPr>
        <w:t>ECOsystem-based governance with DAnube lighthouse Living Lab for sustainable Innovation processes; izvor 51, iznos planiranih sredstava za 202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5</w:t>
      </w:r>
      <w:r w:rsidRPr="00195F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 w:rsidRPr="00DF7FCA">
        <w:rPr>
          <w:rFonts w:ascii="Times New Roman" w:eastAsia="Times New Roman" w:hAnsi="Times New Roman" w:cs="Times New Roman"/>
          <w:sz w:val="24"/>
          <w:szCs w:val="24"/>
          <w:lang w:eastAsia="en-GB"/>
        </w:rPr>
        <w:t>godinu 29.796,00</w:t>
      </w:r>
      <w:r w:rsidRPr="00195F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EUR (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plaće za redovan rad).</w:t>
      </w:r>
    </w:p>
    <w:p w14:paraId="3394513F" w14:textId="40AB4C02" w:rsidR="001F67C5" w:rsidRDefault="001F67C5" w:rsidP="001F67C5">
      <w:pPr>
        <w:numPr>
          <w:ilvl w:val="0"/>
          <w:numId w:val="3"/>
        </w:numPr>
        <w:spacing w:line="259" w:lineRule="auto"/>
        <w:jc w:val="both"/>
      </w:pPr>
      <w:r w:rsidRPr="00195F96">
        <w:t>A679078.717 (OBZOR EUROPA);</w:t>
      </w:r>
      <w:r>
        <w:t xml:space="preserve"> </w:t>
      </w:r>
      <w:r w:rsidRPr="001F67C5">
        <w:rPr>
          <w:b/>
          <w:bCs/>
        </w:rPr>
        <w:t>EHHUR</w:t>
      </w:r>
      <w:r>
        <w:t xml:space="preserve"> -</w:t>
      </w:r>
      <w:r w:rsidRPr="00195F96">
        <w:t xml:space="preserve"> EYES-HEARTS-HANDS URBAN REVOLUTION; izvor 51, iznos planiranih sredstava u 202</w:t>
      </w:r>
      <w:r>
        <w:t>5</w:t>
      </w:r>
      <w:r w:rsidRPr="00195F96">
        <w:t xml:space="preserve">. godini je </w:t>
      </w:r>
      <w:r w:rsidRPr="001F67C5">
        <w:rPr>
          <w:b/>
          <w:bCs/>
        </w:rPr>
        <w:t>17.500,00</w:t>
      </w:r>
      <w:r w:rsidRPr="00195F96">
        <w:t xml:space="preserve"> EUR (plaće za redovan rad, službena putovanja, </w:t>
      </w:r>
      <w:r>
        <w:t>intelektualne usluge</w:t>
      </w:r>
      <w:r w:rsidRPr="00195F96">
        <w:t>, reprezentacija).</w:t>
      </w:r>
    </w:p>
    <w:p w14:paraId="0C65C1A1" w14:textId="77777777" w:rsidR="001F67C5" w:rsidRPr="00195F96" w:rsidRDefault="001F67C5" w:rsidP="001F67C5">
      <w:pPr>
        <w:spacing w:line="259" w:lineRule="auto"/>
        <w:ind w:left="720"/>
        <w:jc w:val="both"/>
      </w:pPr>
    </w:p>
    <w:p w14:paraId="388647A2" w14:textId="755AA3A4" w:rsidR="008861C1" w:rsidRDefault="001F67C5" w:rsidP="00195F96">
      <w:pPr>
        <w:numPr>
          <w:ilvl w:val="0"/>
          <w:numId w:val="3"/>
        </w:numPr>
        <w:spacing w:line="259" w:lineRule="auto"/>
        <w:jc w:val="both"/>
      </w:pPr>
      <w:r w:rsidRPr="00195F96">
        <w:t>NOVI PODPROJEKT</w:t>
      </w:r>
      <w:r>
        <w:t xml:space="preserve"> (</w:t>
      </w:r>
      <w:r w:rsidRPr="00195F96">
        <w:t>HORIZON EUROPE</w:t>
      </w:r>
      <w:r>
        <w:t xml:space="preserve">); </w:t>
      </w:r>
      <w:r w:rsidRPr="001F67C5">
        <w:rPr>
          <w:b/>
          <w:bCs/>
        </w:rPr>
        <w:t>EMERGE</w:t>
      </w:r>
      <w:r w:rsidRPr="001F67C5">
        <w:t xml:space="preserve"> - ENERGY SYSTEM MODELLING FOR GREEN DEVELOPMENT OF AFRICA</w:t>
      </w:r>
      <w:r>
        <w:t>;</w:t>
      </w:r>
      <w:r w:rsidRPr="001F67C5">
        <w:t xml:space="preserve"> </w:t>
      </w:r>
      <w:r w:rsidRPr="00195F96">
        <w:t>izvor 51, iznos planiranih sredstava u 202</w:t>
      </w:r>
      <w:r>
        <w:t>5</w:t>
      </w:r>
      <w:r w:rsidRPr="00195F96">
        <w:t xml:space="preserve">. godini </w:t>
      </w:r>
      <w:r w:rsidRPr="00DF7FCA">
        <w:t xml:space="preserve">je </w:t>
      </w:r>
      <w:r w:rsidR="007C734D" w:rsidRPr="00DF7FCA">
        <w:t>514.218,00</w:t>
      </w:r>
      <w:r w:rsidR="007C734D">
        <w:t xml:space="preserve"> EUR</w:t>
      </w:r>
      <w:r>
        <w:t xml:space="preserve"> </w:t>
      </w:r>
      <w:r w:rsidR="007C734D" w:rsidRPr="00195F96">
        <w:t xml:space="preserve">(plaće za redovan rad, službena putovanja, </w:t>
      </w:r>
      <w:r w:rsidR="007C734D">
        <w:t>intelektualne usluge,ostali rashodi poslovanja)</w:t>
      </w:r>
    </w:p>
    <w:p w14:paraId="2F9A97EF" w14:textId="77777777" w:rsidR="007C734D" w:rsidRDefault="007C734D" w:rsidP="007C734D">
      <w:pPr>
        <w:pStyle w:val="Odlomakpopisa"/>
      </w:pPr>
    </w:p>
    <w:p w14:paraId="3407F04D" w14:textId="08BA07DE" w:rsidR="007C734D" w:rsidRPr="00DF7FCA" w:rsidRDefault="007C734D" w:rsidP="00195F96">
      <w:pPr>
        <w:numPr>
          <w:ilvl w:val="0"/>
          <w:numId w:val="3"/>
        </w:numPr>
        <w:spacing w:line="259" w:lineRule="auto"/>
        <w:jc w:val="both"/>
      </w:pPr>
      <w:r w:rsidRPr="007C734D">
        <w:t>A679078.719</w:t>
      </w:r>
      <w:r>
        <w:t xml:space="preserve"> (</w:t>
      </w:r>
      <w:r w:rsidRPr="00195F96">
        <w:t>HORIZON EUROPE</w:t>
      </w:r>
      <w:r>
        <w:t xml:space="preserve">); </w:t>
      </w:r>
      <w:r w:rsidRPr="007C734D">
        <w:rPr>
          <w:b/>
          <w:bCs/>
        </w:rPr>
        <w:t>E-TANDEM</w:t>
      </w:r>
      <w:r w:rsidRPr="007C734D">
        <w:t xml:space="preserve"> - HYBRID TANDEM CATALYTIC PRODUCTION OF HIGHER-OXYGENATE E-FUELS</w:t>
      </w:r>
      <w:r>
        <w:t xml:space="preserve">; </w:t>
      </w:r>
      <w:r w:rsidRPr="00195F96">
        <w:t>izvor 51, iznos planiranih sredstava u 202</w:t>
      </w:r>
      <w:r>
        <w:t>5</w:t>
      </w:r>
      <w:r w:rsidRPr="00195F96">
        <w:t xml:space="preserve">. godini </w:t>
      </w:r>
      <w:r w:rsidRPr="00DF7FCA">
        <w:t>je 14.000,00 eur (službena putovanja, plaće za redovan rad).</w:t>
      </w:r>
    </w:p>
    <w:p w14:paraId="61D1F7BD" w14:textId="77777777" w:rsidR="007C734D" w:rsidRDefault="007C734D" w:rsidP="007C734D">
      <w:pPr>
        <w:pStyle w:val="Odlomakpopisa"/>
      </w:pPr>
    </w:p>
    <w:p w14:paraId="245C0A96" w14:textId="77777777" w:rsidR="007C734D" w:rsidRDefault="007C734D" w:rsidP="007C734D">
      <w:pPr>
        <w:numPr>
          <w:ilvl w:val="0"/>
          <w:numId w:val="3"/>
        </w:numPr>
        <w:spacing w:line="259" w:lineRule="auto"/>
        <w:jc w:val="both"/>
      </w:pPr>
      <w:r w:rsidRPr="00195F96">
        <w:t>NOVI PODPROJEKT</w:t>
      </w:r>
      <w:r w:rsidRPr="007C734D">
        <w:t xml:space="preserve"> </w:t>
      </w:r>
      <w:r>
        <w:t xml:space="preserve"> (INTERREG) </w:t>
      </w:r>
      <w:r w:rsidRPr="007C734D">
        <w:rPr>
          <w:b/>
          <w:bCs/>
        </w:rPr>
        <w:t>GARDEN -</w:t>
      </w:r>
      <w:r w:rsidRPr="007C734D">
        <w:t xml:space="preserve"> Greener AgRo-fooD logistics in the mEditerraneaN area</w:t>
      </w:r>
      <w:r>
        <w:t xml:space="preserve">; </w:t>
      </w:r>
      <w:r w:rsidRPr="00195F96">
        <w:t>izvor 51, iznos planiranih sredstava u 202</w:t>
      </w:r>
      <w:r>
        <w:t>5</w:t>
      </w:r>
      <w:r w:rsidRPr="00195F96">
        <w:t xml:space="preserve">. </w:t>
      </w:r>
      <w:r w:rsidRPr="00DF7FCA">
        <w:t>godini je 42.067,00</w:t>
      </w:r>
      <w:r>
        <w:t xml:space="preserve"> EUR </w:t>
      </w:r>
      <w:r w:rsidRPr="00A54A32">
        <w:t>(službena putovanja, plaće za redovan rad).</w:t>
      </w:r>
    </w:p>
    <w:p w14:paraId="7A0EEF0F" w14:textId="77777777" w:rsidR="007C734D" w:rsidRDefault="007C734D" w:rsidP="007C734D">
      <w:pPr>
        <w:spacing w:line="259" w:lineRule="auto"/>
        <w:ind w:left="720"/>
        <w:jc w:val="both"/>
      </w:pPr>
    </w:p>
    <w:p w14:paraId="40F3BE22" w14:textId="309A179D" w:rsidR="007C734D" w:rsidRDefault="007C734D" w:rsidP="00195F96">
      <w:pPr>
        <w:numPr>
          <w:ilvl w:val="0"/>
          <w:numId w:val="3"/>
        </w:numPr>
        <w:spacing w:line="259" w:lineRule="auto"/>
        <w:jc w:val="both"/>
      </w:pPr>
      <w:bookmarkStart w:id="4" w:name="_Hlk182228929"/>
      <w:r w:rsidRPr="00195F96">
        <w:t>NOVI PODPROJEKT</w:t>
      </w:r>
      <w:r w:rsidRPr="007C734D">
        <w:t xml:space="preserve"> </w:t>
      </w:r>
      <w:r>
        <w:t xml:space="preserve"> (INTERREG</w:t>
      </w:r>
      <w:r w:rsidRPr="007C734D">
        <w:rPr>
          <w:b/>
          <w:bCs/>
        </w:rPr>
        <w:t xml:space="preserve">) </w:t>
      </w:r>
      <w:bookmarkEnd w:id="4"/>
      <w:r w:rsidRPr="007C734D">
        <w:rPr>
          <w:b/>
          <w:bCs/>
        </w:rPr>
        <w:t>GREENROUTES</w:t>
      </w:r>
      <w:r w:rsidRPr="007C734D">
        <w:t xml:space="preserve"> - Green Corridors for Carbon-Neutral Cruise and Ferry Shipping in the ADRION Region</w:t>
      </w:r>
      <w:r w:rsidR="00A54A32">
        <w:t xml:space="preserve">; </w:t>
      </w:r>
      <w:r w:rsidR="00A54A32" w:rsidRPr="00195F96">
        <w:t>izvor 51, iznos planiranih sredstava u 202</w:t>
      </w:r>
      <w:r w:rsidR="00A54A32">
        <w:t>5</w:t>
      </w:r>
      <w:r w:rsidR="00A54A32" w:rsidRPr="00195F96">
        <w:t xml:space="preserve">. godini </w:t>
      </w:r>
      <w:r w:rsidR="00A54A32" w:rsidRPr="00DF7FCA">
        <w:t>je 10.000,00</w:t>
      </w:r>
      <w:r w:rsidR="00A54A32">
        <w:t xml:space="preserve"> EUR </w:t>
      </w:r>
      <w:r w:rsidR="00A54A32" w:rsidRPr="00A54A32">
        <w:t>(službena putovanja, plaće za redovan rad).</w:t>
      </w:r>
    </w:p>
    <w:p w14:paraId="76966B64" w14:textId="77777777" w:rsidR="00A54A32" w:rsidRDefault="00A54A32" w:rsidP="00A54A32">
      <w:pPr>
        <w:pStyle w:val="Odlomakpopisa"/>
      </w:pPr>
    </w:p>
    <w:p w14:paraId="03A2E487" w14:textId="40F8B86D" w:rsidR="00A54A32" w:rsidRPr="00195F96" w:rsidRDefault="00A54A32" w:rsidP="00A54A32">
      <w:pPr>
        <w:pStyle w:val="Odlomakpopis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4A32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A679078.906 </w:t>
      </w:r>
      <w:r w:rsidRPr="00195F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(LIFE) </w:t>
      </w:r>
      <w:r w:rsidRPr="00A54A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HEAT MINE DH</w:t>
      </w:r>
      <w:r w:rsidRPr="00195F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r w:rsidRPr="00195F96">
        <w:rPr>
          <w:rFonts w:ascii="Times New Roman" w:eastAsia="Times New Roman" w:hAnsi="Times New Roman" w:cs="Times New Roman"/>
          <w:sz w:val="24"/>
          <w:szCs w:val="24"/>
          <w:lang w:eastAsia="en-GB"/>
        </w:rPr>
        <w:t>Low-grade Heat Mapping and Investment Planning for Efficient DH; izvor 51, iznos planiranih sredstava u 202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5</w:t>
      </w:r>
      <w:r w:rsidRPr="00DF7FCA">
        <w:rPr>
          <w:rFonts w:ascii="Times New Roman" w:eastAsia="Times New Roman" w:hAnsi="Times New Roman" w:cs="Times New Roman"/>
          <w:sz w:val="24"/>
          <w:szCs w:val="24"/>
          <w:lang w:eastAsia="en-GB"/>
        </w:rPr>
        <w:t>. godini 2.300,00</w:t>
      </w:r>
      <w:r w:rsidRPr="00195F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EUR (službena putovanja).</w:t>
      </w:r>
    </w:p>
    <w:p w14:paraId="5B939FD7" w14:textId="77777777" w:rsidR="00A54A32" w:rsidRPr="00DF7FCA" w:rsidRDefault="00A54A32" w:rsidP="00A54A32">
      <w:pPr>
        <w:numPr>
          <w:ilvl w:val="0"/>
          <w:numId w:val="3"/>
        </w:numPr>
        <w:spacing w:line="259" w:lineRule="auto"/>
        <w:jc w:val="both"/>
      </w:pPr>
      <w:r w:rsidRPr="00A54A32">
        <w:t>NOVI PODPROJEKT  (INTERREG)</w:t>
      </w:r>
      <w:r>
        <w:t xml:space="preserve"> </w:t>
      </w:r>
      <w:r w:rsidRPr="00A54A32">
        <w:rPr>
          <w:b/>
          <w:bCs/>
        </w:rPr>
        <w:t>Logreener</w:t>
      </w:r>
      <w:r w:rsidRPr="00A54A32">
        <w:t xml:space="preserve"> - Composing Local Green Energy Transition</w:t>
      </w:r>
      <w:r>
        <w:t xml:space="preserve">, </w:t>
      </w:r>
      <w:r w:rsidRPr="00195F96">
        <w:t>izvor 51, iznos planiranih sredstava u 202</w:t>
      </w:r>
      <w:r>
        <w:t>5</w:t>
      </w:r>
      <w:r w:rsidRPr="00195F96">
        <w:t xml:space="preserve">. </w:t>
      </w:r>
      <w:r w:rsidRPr="00DF7FCA">
        <w:t>godini 18.250,00 EUR (službena putovanja, plaće za redovan rad).</w:t>
      </w:r>
    </w:p>
    <w:p w14:paraId="49A268AC" w14:textId="52B43726" w:rsidR="00A54A32" w:rsidRPr="00DF7FCA" w:rsidRDefault="00A54A32" w:rsidP="00195F96">
      <w:pPr>
        <w:numPr>
          <w:ilvl w:val="0"/>
          <w:numId w:val="3"/>
        </w:numPr>
        <w:spacing w:line="259" w:lineRule="auto"/>
        <w:jc w:val="both"/>
      </w:pPr>
      <w:r w:rsidRPr="00A54A32">
        <w:t xml:space="preserve">NOVI PODPROJEKT  </w:t>
      </w:r>
      <w:r w:rsidRPr="00195F96">
        <w:t>(HORIZON EUROPE)</w:t>
      </w:r>
      <w:r>
        <w:t xml:space="preserve"> </w:t>
      </w:r>
      <w:r w:rsidRPr="00A54A32">
        <w:rPr>
          <w:b/>
          <w:bCs/>
        </w:rPr>
        <w:t>METABUILD</w:t>
      </w:r>
      <w:r w:rsidRPr="00A54A32">
        <w:t xml:space="preserve"> - Powering the METAmorphosis of BUILDings towards a decarbonised and sustainable energy system</w:t>
      </w:r>
      <w:r>
        <w:t xml:space="preserve">, </w:t>
      </w:r>
      <w:r w:rsidRPr="00195F96">
        <w:t>izvor 51, iznos planiranih sredstava u 202</w:t>
      </w:r>
      <w:r>
        <w:t>5</w:t>
      </w:r>
      <w:r w:rsidRPr="00DF7FCA">
        <w:t>. godini 70.800,00 EUR (plaće za redovan rad, službena putovanja, intelektualne usluge,ostali rashodi poslovanja)</w:t>
      </w:r>
      <w:r w:rsidR="00DF7FCA" w:rsidRPr="00DF7FCA">
        <w:t>.</w:t>
      </w:r>
    </w:p>
    <w:p w14:paraId="656127E3" w14:textId="77777777" w:rsidR="00195F96" w:rsidRPr="00195F96" w:rsidRDefault="00195F96" w:rsidP="00195F96">
      <w:pPr>
        <w:spacing w:line="259" w:lineRule="auto"/>
        <w:ind w:left="720"/>
        <w:jc w:val="both"/>
      </w:pPr>
    </w:p>
    <w:p w14:paraId="7F7F5E5A" w14:textId="4081E829" w:rsidR="00A54A32" w:rsidRPr="00DF7FCA" w:rsidRDefault="00A54A32" w:rsidP="00A54A32">
      <w:pPr>
        <w:numPr>
          <w:ilvl w:val="0"/>
          <w:numId w:val="3"/>
        </w:numPr>
        <w:spacing w:line="259" w:lineRule="auto"/>
        <w:jc w:val="both"/>
      </w:pPr>
      <w:r w:rsidRPr="00A54A32">
        <w:t xml:space="preserve">A679078.901 </w:t>
      </w:r>
      <w:r w:rsidRPr="00195F96">
        <w:t xml:space="preserve">(HORIZON EUROPE) </w:t>
      </w:r>
      <w:r w:rsidRPr="00DF7FCA">
        <w:rPr>
          <w:b/>
          <w:bCs/>
        </w:rPr>
        <w:t>NAHV</w:t>
      </w:r>
      <w:r>
        <w:t xml:space="preserve"> - </w:t>
      </w:r>
      <w:r w:rsidRPr="00195F96">
        <w:t>NORTH ADRIATIC HYDROGEN VALLEY; izvor 51, iznos planiranih sredstava za 202</w:t>
      </w:r>
      <w:r>
        <w:t>5</w:t>
      </w:r>
      <w:r w:rsidRPr="00195F96">
        <w:t xml:space="preserve">. </w:t>
      </w:r>
      <w:r w:rsidRPr="00DF7FCA">
        <w:t>godinu je 15.000,00 EUR (plaće, službena putovanja)</w:t>
      </w:r>
      <w:r w:rsidR="00DF7FCA" w:rsidRPr="00DF7FCA">
        <w:t>.</w:t>
      </w:r>
    </w:p>
    <w:p w14:paraId="03317A88" w14:textId="77777777" w:rsidR="00A54A32" w:rsidRPr="00195F96" w:rsidRDefault="00A54A32" w:rsidP="00A54A32">
      <w:pPr>
        <w:spacing w:line="259" w:lineRule="auto"/>
        <w:jc w:val="both"/>
      </w:pPr>
    </w:p>
    <w:p w14:paraId="155C19D5" w14:textId="0934BFBA" w:rsidR="00A54A32" w:rsidRDefault="00A54A32" w:rsidP="00A54A32">
      <w:pPr>
        <w:pStyle w:val="Odlomakpopis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95F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A679078.689 (OBZOR 2020) </w:t>
      </w:r>
      <w:r w:rsidRPr="00DF7FC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OLGA</w:t>
      </w:r>
      <w:r w:rsidR="00DF7FCA">
        <w:rPr>
          <w:rFonts w:ascii="Times New Roman" w:eastAsia="Times New Roman" w:hAnsi="Times New Roman" w:cs="Times New Roman"/>
          <w:sz w:val="24"/>
          <w:szCs w:val="24"/>
          <w:lang w:eastAsia="en-GB"/>
        </w:rPr>
        <w:t>-</w:t>
      </w:r>
      <w:r w:rsidRPr="00195F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Holistic Green Airport; izvor 51, iznos planiranih sredstava u 202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5</w:t>
      </w:r>
      <w:r w:rsidRPr="00195F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godini </w:t>
      </w:r>
      <w:r w:rsidRPr="00DF7FCA">
        <w:rPr>
          <w:rFonts w:ascii="Times New Roman" w:eastAsia="Times New Roman" w:hAnsi="Times New Roman" w:cs="Times New Roman"/>
          <w:sz w:val="24"/>
          <w:szCs w:val="24"/>
          <w:lang w:eastAsia="en-GB"/>
        </w:rPr>
        <w:t>je 68.800,</w:t>
      </w:r>
      <w:r w:rsidRPr="00A54A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00</w:t>
      </w:r>
      <w:r w:rsidRPr="00195F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EUR (plaće, službena putovanja, investicijsko i tekuće održavanje,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195F96">
        <w:rPr>
          <w:rFonts w:ascii="Times New Roman" w:eastAsia="Times New Roman" w:hAnsi="Times New Roman" w:cs="Times New Roman"/>
          <w:sz w:val="24"/>
          <w:szCs w:val="24"/>
          <w:lang w:eastAsia="en-GB"/>
        </w:rPr>
        <w:t>uredska oprema, ostali nespomenuti rashodi).</w:t>
      </w:r>
    </w:p>
    <w:p w14:paraId="373856E3" w14:textId="77777777" w:rsidR="00DF7FCA" w:rsidRPr="00DF7FCA" w:rsidRDefault="00DF7FCA" w:rsidP="00DF7FCA">
      <w:pPr>
        <w:pStyle w:val="Odlomakpopisa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4576130" w14:textId="2919B268" w:rsidR="00DF7FCA" w:rsidRDefault="00DF7FCA" w:rsidP="00A54A32">
      <w:pPr>
        <w:pStyle w:val="Odlomakpopis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F7FCA">
        <w:rPr>
          <w:rFonts w:ascii="Times New Roman" w:eastAsia="Times New Roman" w:hAnsi="Times New Roman" w:cs="Times New Roman"/>
          <w:sz w:val="24"/>
          <w:szCs w:val="24"/>
          <w:lang w:eastAsia="en-GB"/>
        </w:rPr>
        <w:t>A679078.682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(ERASMUS+) </w:t>
      </w:r>
      <w:r w:rsidRPr="00DF7FC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SEAS 4.0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-</w:t>
      </w:r>
      <w:r w:rsidRPr="00DF7FC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ODRŽIVI BROD I DOSTAVA 4.0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  <w:r w:rsidRPr="00195F96">
        <w:rPr>
          <w:rFonts w:ascii="Times New Roman" w:eastAsia="Times New Roman" w:hAnsi="Times New Roman" w:cs="Times New Roman"/>
          <w:sz w:val="24"/>
          <w:szCs w:val="24"/>
          <w:lang w:eastAsia="en-GB"/>
        </w:rPr>
        <w:t>izvor 51, iznos planiranih sredstava u 202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5</w:t>
      </w:r>
      <w:r w:rsidRPr="00195F96">
        <w:rPr>
          <w:rFonts w:ascii="Times New Roman" w:eastAsia="Times New Roman" w:hAnsi="Times New Roman" w:cs="Times New Roman"/>
          <w:sz w:val="24"/>
          <w:szCs w:val="24"/>
          <w:lang w:eastAsia="en-GB"/>
        </w:rPr>
        <w:t>. godini je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DF7FCA">
        <w:rPr>
          <w:rFonts w:ascii="Times New Roman" w:eastAsia="Times New Roman" w:hAnsi="Times New Roman" w:cs="Times New Roman"/>
          <w:sz w:val="24"/>
          <w:szCs w:val="24"/>
          <w:lang w:eastAsia="en-GB"/>
        </w:rPr>
        <w:t>39.500,00 EUR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195F96">
        <w:rPr>
          <w:rFonts w:ascii="Times New Roman" w:eastAsia="Times New Roman" w:hAnsi="Times New Roman" w:cs="Times New Roman"/>
          <w:sz w:val="24"/>
          <w:szCs w:val="24"/>
          <w:lang w:eastAsia="en-GB"/>
        </w:rPr>
        <w:t>(plaće, službena putovanja, investicijsko i tekuće održavanje,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195F96">
        <w:rPr>
          <w:rFonts w:ascii="Times New Roman" w:eastAsia="Times New Roman" w:hAnsi="Times New Roman" w:cs="Times New Roman"/>
          <w:sz w:val="24"/>
          <w:szCs w:val="24"/>
          <w:lang w:eastAsia="en-GB"/>
        </w:rPr>
        <w:t>uredska oprema, ostali nespomenuti rashodi).</w:t>
      </w:r>
    </w:p>
    <w:p w14:paraId="1F773753" w14:textId="77777777" w:rsidR="00DF7FCA" w:rsidRPr="00DF7FCA" w:rsidRDefault="00DF7FCA" w:rsidP="00DF7FCA">
      <w:pPr>
        <w:jc w:val="both"/>
      </w:pPr>
    </w:p>
    <w:p w14:paraId="7824BAD0" w14:textId="47ABE915" w:rsidR="00DF7FCA" w:rsidRPr="00DF7FCA" w:rsidRDefault="00DF7FCA" w:rsidP="00DF7FCA">
      <w:pPr>
        <w:pStyle w:val="Odlomakpopis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F7FC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A679078.905 </w:t>
      </w:r>
      <w:r w:rsidRPr="00195F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(LIFE) </w:t>
      </w:r>
      <w:r w:rsidRPr="00DF7FC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SET_HEAT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-</w:t>
      </w:r>
      <w:r w:rsidRPr="00195F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Supporting Energy Transition and Decarbonisation in District Heating Sector; izvor 51, iznos planiranih sredstava u 202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5</w:t>
      </w:r>
      <w:r w:rsidRPr="00195F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 w:rsidRPr="00DF7FCA">
        <w:rPr>
          <w:rFonts w:ascii="Times New Roman" w:eastAsia="Times New Roman" w:hAnsi="Times New Roman" w:cs="Times New Roman"/>
          <w:sz w:val="24"/>
          <w:szCs w:val="24"/>
          <w:lang w:eastAsia="en-GB"/>
        </w:rPr>
        <w:t>godini 48.473,00</w:t>
      </w:r>
      <w:r w:rsidRPr="00195F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EUR (plaće, službena putovanja, usluge promidžbe, intelektualne usluge).</w:t>
      </w:r>
    </w:p>
    <w:p w14:paraId="389FE175" w14:textId="77777777" w:rsidR="00DF7FCA" w:rsidRPr="00DF7FCA" w:rsidRDefault="00DF7FCA" w:rsidP="00DF7FCA">
      <w:pPr>
        <w:pStyle w:val="Odlomakpopisa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6BB9366" w14:textId="33B71B2D" w:rsidR="00195F96" w:rsidRPr="00195F96" w:rsidRDefault="00DF7FCA" w:rsidP="00BE65D0">
      <w:pPr>
        <w:pStyle w:val="Odlomakpopisa"/>
        <w:numPr>
          <w:ilvl w:val="0"/>
          <w:numId w:val="3"/>
        </w:numPr>
        <w:jc w:val="both"/>
      </w:pPr>
      <w:r w:rsidRPr="00DF7FCA">
        <w:rPr>
          <w:rFonts w:ascii="Times New Roman" w:hAnsi="Times New Roman" w:cs="Times New Roman"/>
          <w:sz w:val="24"/>
          <w:szCs w:val="24"/>
        </w:rPr>
        <w:t>NOVI PODPROJEKT (INTERREG)</w:t>
      </w:r>
      <w:r w:rsidRPr="00DF7FCA">
        <w:rPr>
          <w:rFonts w:ascii="Times New Roman" w:hAnsi="Times New Roman" w:cs="Times New Roman"/>
          <w:b/>
          <w:bCs/>
          <w:sz w:val="24"/>
          <w:szCs w:val="24"/>
        </w:rPr>
        <w:t xml:space="preserve"> StoreMore</w:t>
      </w:r>
      <w:r w:rsidRPr="00DF7FCA">
        <w:rPr>
          <w:rFonts w:ascii="Times New Roman" w:hAnsi="Times New Roman" w:cs="Times New Roman"/>
          <w:sz w:val="24"/>
          <w:szCs w:val="24"/>
        </w:rPr>
        <w:t xml:space="preserve"> - Analysing and promoting energy storage solutions, developing tools to mitigate the intermittency of RES, contributing to an accelerated transition to renewable energy and more balanced electrical grids</w:t>
      </w:r>
      <w:r w:rsidRPr="00DF7FC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; izvor 51, iznos planiranih sredstava u 2025. godini 34.690,00 EUR (službena putovanja, plaće za redovan rad).</w:t>
      </w:r>
    </w:p>
    <w:p w14:paraId="1C7B91CE" w14:textId="30177205" w:rsidR="00195F96" w:rsidRPr="00195F96" w:rsidRDefault="00DF7FCA" w:rsidP="00195F96">
      <w:pPr>
        <w:numPr>
          <w:ilvl w:val="0"/>
          <w:numId w:val="3"/>
        </w:numPr>
        <w:spacing w:line="259" w:lineRule="auto"/>
        <w:jc w:val="both"/>
      </w:pPr>
      <w:r w:rsidRPr="00DF7FCA">
        <w:t xml:space="preserve">A679078.900 </w:t>
      </w:r>
      <w:r w:rsidR="00195F96" w:rsidRPr="00195F96">
        <w:t xml:space="preserve">(European Climate Initiative) </w:t>
      </w:r>
      <w:r w:rsidR="00195F96" w:rsidRPr="00DF7FCA">
        <w:rPr>
          <w:b/>
          <w:bCs/>
        </w:rPr>
        <w:t>SunSharing</w:t>
      </w:r>
      <w:r w:rsidR="00195F96" w:rsidRPr="00195F96">
        <w:t xml:space="preserve"> - supporting solar energy community and crowdfunding initiatives in SEE; izvor 51, iznos planiranih sredstava 202. godini </w:t>
      </w:r>
      <w:r w:rsidR="00195F96" w:rsidRPr="00DF7FCA">
        <w:t xml:space="preserve">je </w:t>
      </w:r>
      <w:r w:rsidRPr="00DF7FCA">
        <w:t>31.006</w:t>
      </w:r>
      <w:r w:rsidR="00195F96" w:rsidRPr="00DF7FCA">
        <w:t>,00 EUR</w:t>
      </w:r>
      <w:r w:rsidR="00195F96" w:rsidRPr="00195F96">
        <w:t xml:space="preserve"> </w:t>
      </w:r>
      <w:r>
        <w:t>(</w:t>
      </w:r>
      <w:r w:rsidR="00195F96" w:rsidRPr="00195F96">
        <w:t>ostali rashodi</w:t>
      </w:r>
      <w:bookmarkEnd w:id="2"/>
      <w:r>
        <w:t>)</w:t>
      </w:r>
    </w:p>
    <w:p w14:paraId="6A36CC89" w14:textId="77777777" w:rsidR="00195F96" w:rsidRPr="009B0142" w:rsidRDefault="00195F96">
      <w:pPr>
        <w:spacing w:before="240"/>
        <w:jc w:val="both"/>
        <w:rPr>
          <w:color w:val="FF0000"/>
        </w:rPr>
      </w:pPr>
    </w:p>
    <w:p w14:paraId="1F37480C" w14:textId="77777777" w:rsidR="00786331" w:rsidRPr="009B0142" w:rsidRDefault="00786331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jc w:val="both"/>
        <w:rPr>
          <w:i/>
          <w:color w:val="FF0000"/>
        </w:rPr>
      </w:pPr>
    </w:p>
    <w:tbl>
      <w:tblPr>
        <w:tblW w:w="940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5"/>
        <w:gridCol w:w="1620"/>
        <w:gridCol w:w="1022"/>
        <w:gridCol w:w="1048"/>
        <w:gridCol w:w="1190"/>
        <w:gridCol w:w="1119"/>
        <w:gridCol w:w="1119"/>
        <w:gridCol w:w="1119"/>
      </w:tblGrid>
      <w:tr w:rsidR="00DD60B7" w:rsidRPr="00FB28CD" w14:paraId="4B25B78E" w14:textId="77777777" w:rsidTr="00FB28CD"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4DA50" w14:textId="77777777" w:rsidR="00FB28CD" w:rsidRPr="00195F96" w:rsidRDefault="00FB28CD" w:rsidP="00FB28CD">
            <w:pPr>
              <w:suppressAutoHyphens/>
              <w:autoSpaceDN w:val="0"/>
              <w:jc w:val="center"/>
              <w:rPr>
                <w:sz w:val="20"/>
                <w:szCs w:val="20"/>
              </w:rPr>
            </w:pPr>
            <w:r w:rsidRPr="00195F96">
              <w:rPr>
                <w:sz w:val="20"/>
                <w:szCs w:val="20"/>
              </w:rPr>
              <w:t>Pokazatelj rezultata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81257" w14:textId="77777777" w:rsidR="00FB28CD" w:rsidRPr="00195F96" w:rsidRDefault="00FB28CD" w:rsidP="00FB28CD">
            <w:pPr>
              <w:suppressAutoHyphens/>
              <w:autoSpaceDN w:val="0"/>
              <w:jc w:val="center"/>
              <w:rPr>
                <w:sz w:val="20"/>
                <w:szCs w:val="20"/>
              </w:rPr>
            </w:pPr>
            <w:r w:rsidRPr="00195F96">
              <w:rPr>
                <w:sz w:val="20"/>
                <w:szCs w:val="20"/>
              </w:rPr>
              <w:t>Definicija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4874C" w14:textId="77777777" w:rsidR="00FB28CD" w:rsidRPr="00195F96" w:rsidRDefault="00FB28CD" w:rsidP="00FB28CD">
            <w:pPr>
              <w:suppressAutoHyphens/>
              <w:autoSpaceDN w:val="0"/>
              <w:jc w:val="center"/>
              <w:rPr>
                <w:sz w:val="20"/>
                <w:szCs w:val="20"/>
              </w:rPr>
            </w:pPr>
            <w:r w:rsidRPr="00195F96">
              <w:rPr>
                <w:sz w:val="20"/>
                <w:szCs w:val="20"/>
              </w:rPr>
              <w:t>Jedinica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73378" w14:textId="77777777" w:rsidR="00FB28CD" w:rsidRPr="00195F96" w:rsidRDefault="00FB28CD" w:rsidP="00FB28CD">
            <w:pPr>
              <w:suppressAutoHyphens/>
              <w:autoSpaceDN w:val="0"/>
              <w:jc w:val="center"/>
              <w:rPr>
                <w:sz w:val="20"/>
                <w:szCs w:val="20"/>
              </w:rPr>
            </w:pPr>
            <w:r w:rsidRPr="00195F96">
              <w:rPr>
                <w:sz w:val="20"/>
                <w:szCs w:val="20"/>
              </w:rPr>
              <w:t>Polazna vrijednost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E59A8" w14:textId="77777777" w:rsidR="00FB28CD" w:rsidRPr="00195F96" w:rsidRDefault="00FB28CD" w:rsidP="00FB28CD">
            <w:pPr>
              <w:suppressAutoHyphens/>
              <w:autoSpaceDN w:val="0"/>
              <w:jc w:val="center"/>
              <w:rPr>
                <w:sz w:val="20"/>
                <w:szCs w:val="20"/>
              </w:rPr>
            </w:pPr>
            <w:r w:rsidRPr="00195F96">
              <w:rPr>
                <w:sz w:val="20"/>
                <w:szCs w:val="20"/>
              </w:rPr>
              <w:t>Izvor podataka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284C7" w14:textId="77777777" w:rsidR="00FB28CD" w:rsidRPr="00195F96" w:rsidRDefault="00FB28CD" w:rsidP="00FB28CD">
            <w:pPr>
              <w:suppressAutoHyphens/>
              <w:autoSpaceDN w:val="0"/>
              <w:jc w:val="center"/>
              <w:rPr>
                <w:sz w:val="20"/>
                <w:szCs w:val="20"/>
              </w:rPr>
            </w:pPr>
            <w:r w:rsidRPr="00195F96">
              <w:rPr>
                <w:sz w:val="20"/>
                <w:szCs w:val="20"/>
              </w:rPr>
              <w:t>Ciljana vrijednost za 2024.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CC526" w14:textId="77777777" w:rsidR="00FB28CD" w:rsidRPr="00195F96" w:rsidRDefault="00FB28CD" w:rsidP="00FB28CD">
            <w:pPr>
              <w:suppressAutoHyphens/>
              <w:autoSpaceDN w:val="0"/>
              <w:jc w:val="center"/>
              <w:rPr>
                <w:sz w:val="20"/>
                <w:szCs w:val="20"/>
              </w:rPr>
            </w:pPr>
            <w:r w:rsidRPr="00195F96">
              <w:rPr>
                <w:sz w:val="20"/>
                <w:szCs w:val="20"/>
              </w:rPr>
              <w:t>Ciljana vrijednost za 2025.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40A23" w14:textId="77777777" w:rsidR="00FB28CD" w:rsidRPr="00195F96" w:rsidRDefault="00FB28CD" w:rsidP="00FB28CD">
            <w:pPr>
              <w:suppressAutoHyphens/>
              <w:autoSpaceDN w:val="0"/>
              <w:jc w:val="center"/>
              <w:rPr>
                <w:sz w:val="20"/>
                <w:szCs w:val="20"/>
              </w:rPr>
            </w:pPr>
            <w:r w:rsidRPr="00195F96">
              <w:rPr>
                <w:sz w:val="20"/>
                <w:szCs w:val="20"/>
              </w:rPr>
              <w:t>Ciljana vrijednost za 2026.</w:t>
            </w:r>
          </w:p>
        </w:tc>
      </w:tr>
      <w:tr w:rsidR="00DD60B7" w:rsidRPr="00FB28CD" w14:paraId="46B709E2" w14:textId="77777777" w:rsidTr="00FB28CD"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FB06F" w14:textId="77777777" w:rsidR="00FB28CD" w:rsidRPr="00195F96" w:rsidRDefault="00FB28CD" w:rsidP="00FB28CD">
            <w:pPr>
              <w:suppressAutoHyphens/>
              <w:autoSpaceDN w:val="0"/>
              <w:jc w:val="center"/>
              <w:rPr>
                <w:i/>
              </w:rPr>
            </w:pPr>
            <w:r w:rsidRPr="00195F96">
              <w:rPr>
                <w:i/>
              </w:rPr>
              <w:t xml:space="preserve">Broj </w:t>
            </w:r>
          </w:p>
          <w:p w14:paraId="6C2050BD" w14:textId="77777777" w:rsidR="00FB28CD" w:rsidRPr="00195F96" w:rsidRDefault="00FB28CD" w:rsidP="00FB28CD">
            <w:pPr>
              <w:suppressAutoHyphens/>
              <w:autoSpaceDN w:val="0"/>
              <w:jc w:val="center"/>
              <w:rPr>
                <w:i/>
              </w:rPr>
            </w:pPr>
            <w:r w:rsidRPr="00195F96">
              <w:rPr>
                <w:i/>
              </w:rPr>
              <w:t>dolaznih</w:t>
            </w:r>
          </w:p>
          <w:p w14:paraId="2EC64844" w14:textId="77777777" w:rsidR="00FB28CD" w:rsidRPr="00195F96" w:rsidRDefault="00FB28CD" w:rsidP="00FB28CD">
            <w:pPr>
              <w:suppressAutoHyphens/>
              <w:autoSpaceDN w:val="0"/>
              <w:jc w:val="center"/>
              <w:rPr>
                <w:i/>
              </w:rPr>
            </w:pPr>
            <w:r w:rsidRPr="00195F96">
              <w:rPr>
                <w:i/>
              </w:rPr>
              <w:t>studenata</w:t>
            </w:r>
          </w:p>
          <w:p w14:paraId="07CF2369" w14:textId="77777777" w:rsidR="00FB28CD" w:rsidRPr="00195F96" w:rsidRDefault="00FB28CD" w:rsidP="00FB28CD">
            <w:pPr>
              <w:suppressAutoHyphens/>
              <w:autoSpaceDN w:val="0"/>
              <w:jc w:val="center"/>
              <w:rPr>
                <w:i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E2A4B" w14:textId="77777777" w:rsidR="00FB28CD" w:rsidRPr="00195F96" w:rsidRDefault="00FB28CD" w:rsidP="00FB28CD">
            <w:pPr>
              <w:suppressAutoHyphens/>
              <w:autoSpaceDN w:val="0"/>
              <w:jc w:val="center"/>
              <w:rPr>
                <w:i/>
              </w:rPr>
            </w:pPr>
            <w:r w:rsidRPr="00195F96">
              <w:rPr>
                <w:i/>
              </w:rPr>
              <w:t xml:space="preserve">Udio dolaznih međunarodnih studenata (dolazna </w:t>
            </w:r>
            <w:r w:rsidRPr="00195F96">
              <w:rPr>
                <w:i/>
              </w:rPr>
              <w:lastRenderedPageBreak/>
              <w:t>mobilnost studenata)</w:t>
            </w:r>
          </w:p>
          <w:p w14:paraId="58F94D18" w14:textId="77777777" w:rsidR="00FB28CD" w:rsidRPr="00195F96" w:rsidRDefault="00FB28CD" w:rsidP="00FB28CD">
            <w:pPr>
              <w:suppressAutoHyphens/>
              <w:autoSpaceDN w:val="0"/>
              <w:jc w:val="center"/>
              <w:rPr>
                <w:i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F875B" w14:textId="77777777" w:rsidR="00FB28CD" w:rsidRPr="00195F96" w:rsidRDefault="00FB28CD" w:rsidP="00FB28CD">
            <w:pPr>
              <w:suppressAutoHyphens/>
              <w:autoSpaceDN w:val="0"/>
              <w:jc w:val="center"/>
              <w:rPr>
                <w:i/>
              </w:rPr>
            </w:pPr>
            <w:r w:rsidRPr="00195F96">
              <w:rPr>
                <w:i/>
              </w:rPr>
              <w:lastRenderedPageBreak/>
              <w:t>student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88EA4" w14:textId="448BA70E" w:rsidR="00FB28CD" w:rsidRPr="00195F96" w:rsidRDefault="00006808" w:rsidP="00FB28CD">
            <w:pPr>
              <w:suppressAutoHyphens/>
              <w:autoSpaceDN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</w:t>
            </w:r>
            <w:r w:rsidR="00FB28CD" w:rsidRPr="00195F96">
              <w:rPr>
                <w:i/>
                <w:sz w:val="20"/>
                <w:szCs w:val="20"/>
              </w:rPr>
              <w:t>*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508A9" w14:textId="77777777" w:rsidR="00FB28CD" w:rsidRPr="00195F96" w:rsidRDefault="00FB28CD" w:rsidP="00FB28CD">
            <w:pPr>
              <w:suppressAutoHyphens/>
              <w:autoSpaceDN w:val="0"/>
              <w:jc w:val="center"/>
              <w:rPr>
                <w:i/>
              </w:rPr>
            </w:pPr>
            <w:r w:rsidRPr="00195F96">
              <w:rPr>
                <w:i/>
              </w:rPr>
              <w:t>Služba za mobilnost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A287E" w14:textId="6AA7B8EA" w:rsidR="00FB28CD" w:rsidRPr="00195F96" w:rsidRDefault="00CA3305" w:rsidP="00FB28CD">
            <w:pPr>
              <w:suppressAutoHyphens/>
              <w:autoSpaceDN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02F3C" w14:textId="32BFEB97" w:rsidR="00FB28CD" w:rsidRPr="00195F96" w:rsidRDefault="00CA3305" w:rsidP="00FB28CD">
            <w:pPr>
              <w:suppressAutoHyphens/>
              <w:autoSpaceDN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0D2E2" w14:textId="099AED00" w:rsidR="00FB28CD" w:rsidRPr="00195F96" w:rsidRDefault="00CA3305" w:rsidP="00FB28CD">
            <w:pPr>
              <w:suppressAutoHyphens/>
              <w:autoSpaceDN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22</w:t>
            </w:r>
          </w:p>
        </w:tc>
      </w:tr>
    </w:tbl>
    <w:p w14:paraId="7702FE83" w14:textId="77777777" w:rsidR="00FB28CD" w:rsidRPr="00FB28CD" w:rsidRDefault="00FB28CD" w:rsidP="00FB28CD">
      <w:pPr>
        <w:suppressAutoHyphens/>
        <w:autoSpaceDN w:val="0"/>
        <w:jc w:val="both"/>
      </w:pPr>
    </w:p>
    <w:p w14:paraId="48EAD882" w14:textId="77777777" w:rsidR="00FB28CD" w:rsidRPr="00FB28CD" w:rsidRDefault="00FB28CD" w:rsidP="00FB28CD">
      <w:pPr>
        <w:suppressAutoHyphens/>
        <w:autoSpaceDN w:val="0"/>
        <w:jc w:val="both"/>
      </w:pPr>
    </w:p>
    <w:p w14:paraId="7480C2DF" w14:textId="677C40D9" w:rsidR="00FB28CD" w:rsidRPr="00FB28CD" w:rsidRDefault="00FB28CD" w:rsidP="00FB28CD">
      <w:pPr>
        <w:autoSpaceDN w:val="0"/>
        <w:spacing w:after="200" w:line="276" w:lineRule="auto"/>
        <w:rPr>
          <w:lang w:eastAsia="hr-HR"/>
        </w:rPr>
      </w:pPr>
      <w:r w:rsidRPr="00FB28CD">
        <w:rPr>
          <w:lang w:eastAsia="hr-HR"/>
        </w:rPr>
        <w:t>* podaci se odnose na akademsku godinu 202</w:t>
      </w:r>
      <w:r w:rsidR="00CA3305">
        <w:rPr>
          <w:lang w:eastAsia="hr-HR"/>
        </w:rPr>
        <w:t>3</w:t>
      </w:r>
      <w:r w:rsidRPr="00FB28CD">
        <w:rPr>
          <w:lang w:eastAsia="hr-HR"/>
        </w:rPr>
        <w:t>/202</w:t>
      </w:r>
      <w:r w:rsidR="00CA3305">
        <w:rPr>
          <w:lang w:eastAsia="hr-HR"/>
        </w:rPr>
        <w:t>4.</w:t>
      </w:r>
    </w:p>
    <w:p w14:paraId="0AC0E871" w14:textId="742F3183" w:rsidR="00FB28CD" w:rsidRPr="00835B4F" w:rsidRDefault="00FB28CD" w:rsidP="00FB28CD">
      <w:pPr>
        <w:autoSpaceDN w:val="0"/>
        <w:spacing w:after="200" w:line="276" w:lineRule="auto"/>
        <w:rPr>
          <w:color w:val="FF0000"/>
          <w:lang w:eastAsia="hr-HR"/>
        </w:rPr>
      </w:pPr>
      <w:r w:rsidRPr="00835B4F">
        <w:rPr>
          <w:color w:val="FF0000"/>
          <w:lang w:eastAsia="hr-HR"/>
        </w:rPr>
        <w:t>** podatak se odnosi na broj radova u 202</w:t>
      </w:r>
      <w:r w:rsidR="00CA3305" w:rsidRPr="00835B4F">
        <w:rPr>
          <w:color w:val="FF0000"/>
          <w:lang w:eastAsia="hr-HR"/>
        </w:rPr>
        <w:t>4</w:t>
      </w:r>
      <w:r w:rsidRPr="00835B4F">
        <w:rPr>
          <w:color w:val="FF0000"/>
          <w:lang w:eastAsia="hr-HR"/>
        </w:rPr>
        <w:t>. godini</w:t>
      </w:r>
    </w:p>
    <w:p w14:paraId="25A1DB3E" w14:textId="77777777" w:rsidR="00FB28CD" w:rsidRPr="00FB28CD" w:rsidRDefault="00FB28CD" w:rsidP="00FB28CD">
      <w:pPr>
        <w:suppressAutoHyphens/>
        <w:autoSpaceDN w:val="0"/>
        <w:spacing w:after="160" w:line="251" w:lineRule="auto"/>
        <w:rPr>
          <w:rFonts w:eastAsia="Calibri"/>
          <w:kern w:val="3"/>
          <w:lang w:val="en-US" w:eastAsia="en-US"/>
        </w:rPr>
      </w:pPr>
    </w:p>
    <w:p w14:paraId="04429E95" w14:textId="77777777" w:rsidR="00EE188E" w:rsidRDefault="00EE188E">
      <w:pPr>
        <w:jc w:val="both"/>
      </w:pPr>
    </w:p>
    <w:p w14:paraId="0ACA7148" w14:textId="77777777" w:rsidR="00EE188E" w:rsidRDefault="00EE188E">
      <w:pPr>
        <w:jc w:val="both"/>
      </w:pPr>
    </w:p>
    <w:p w14:paraId="73A21597" w14:textId="77777777" w:rsidR="00EE188E" w:rsidRDefault="00EE188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Dekan</w:t>
      </w:r>
    </w:p>
    <w:p w14:paraId="5C2EF349" w14:textId="77777777" w:rsidR="00EE188E" w:rsidRDefault="00EE188E">
      <w:pPr>
        <w:jc w:val="both"/>
      </w:pPr>
    </w:p>
    <w:p w14:paraId="13688D05" w14:textId="37CC8013" w:rsidR="00EE188E" w:rsidRDefault="00EE188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85F22">
        <w:tab/>
      </w:r>
      <w:r>
        <w:tab/>
        <w:t>Prof.dr.sc. Zdenko Tonković</w:t>
      </w:r>
      <w:r>
        <w:tab/>
      </w:r>
    </w:p>
    <w:p w14:paraId="2CF6AC68" w14:textId="77777777" w:rsidR="00EE188E" w:rsidRDefault="00EE188E">
      <w:pPr>
        <w:jc w:val="both"/>
      </w:pPr>
    </w:p>
    <w:p w14:paraId="6913D198" w14:textId="08A18734" w:rsidR="00EE188E" w:rsidRDefault="00EE188E">
      <w:pPr>
        <w:jc w:val="both"/>
      </w:pPr>
      <w:r>
        <w:tab/>
      </w:r>
      <w:r>
        <w:tab/>
      </w:r>
      <w:r>
        <w:tab/>
      </w:r>
      <w:r>
        <w:tab/>
      </w:r>
    </w:p>
    <w:sectPr w:rsidR="00EE188E">
      <w:footerReference w:type="default" r:id="rId11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0ED53" w14:textId="77777777" w:rsidR="0002635F" w:rsidRDefault="0002635F">
      <w:r>
        <w:separator/>
      </w:r>
    </w:p>
  </w:endnote>
  <w:endnote w:type="continuationSeparator" w:id="0">
    <w:p w14:paraId="4B6FA131" w14:textId="77777777" w:rsidR="0002635F" w:rsidRDefault="00026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7483A" w14:textId="79721CB9" w:rsidR="00786331" w:rsidRDefault="002B2C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542B9A">
      <w:rPr>
        <w:rFonts w:ascii="Calibri" w:eastAsia="Calibri" w:hAnsi="Calibri" w:cs="Calibri"/>
        <w:noProof/>
        <w:color w:val="000000"/>
        <w:sz w:val="22"/>
        <w:szCs w:val="22"/>
      </w:rPr>
      <w:t>7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1F37483B" w14:textId="77777777" w:rsidR="00786331" w:rsidRDefault="007863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6D1CB" w14:textId="77777777" w:rsidR="0002635F" w:rsidRDefault="0002635F">
      <w:r>
        <w:separator/>
      </w:r>
    </w:p>
  </w:footnote>
  <w:footnote w:type="continuationSeparator" w:id="0">
    <w:p w14:paraId="28991BEE" w14:textId="77777777" w:rsidR="0002635F" w:rsidRDefault="00026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F035F"/>
    <w:multiLevelType w:val="multilevel"/>
    <w:tmpl w:val="066A7E28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D77B8A"/>
    <w:multiLevelType w:val="multilevel"/>
    <w:tmpl w:val="6A9070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B40C5"/>
    <w:multiLevelType w:val="multilevel"/>
    <w:tmpl w:val="FC5289B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469127938">
    <w:abstractNumId w:val="2"/>
  </w:num>
  <w:num w:numId="2" w16cid:durableId="1998990385">
    <w:abstractNumId w:val="0"/>
  </w:num>
  <w:num w:numId="3" w16cid:durableId="2071422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331"/>
    <w:rsid w:val="000034F8"/>
    <w:rsid w:val="00006808"/>
    <w:rsid w:val="00014708"/>
    <w:rsid w:val="0002635F"/>
    <w:rsid w:val="000422CA"/>
    <w:rsid w:val="000539A2"/>
    <w:rsid w:val="0006021C"/>
    <w:rsid w:val="000731E8"/>
    <w:rsid w:val="00084871"/>
    <w:rsid w:val="000C54E9"/>
    <w:rsid w:val="00157C52"/>
    <w:rsid w:val="0016036C"/>
    <w:rsid w:val="0016474E"/>
    <w:rsid w:val="001665AF"/>
    <w:rsid w:val="00181BC5"/>
    <w:rsid w:val="00195F96"/>
    <w:rsid w:val="001A14DC"/>
    <w:rsid w:val="001A705A"/>
    <w:rsid w:val="001B32A1"/>
    <w:rsid w:val="001C43B0"/>
    <w:rsid w:val="001F00DC"/>
    <w:rsid w:val="001F67C5"/>
    <w:rsid w:val="002045DB"/>
    <w:rsid w:val="00214BD1"/>
    <w:rsid w:val="00242B8A"/>
    <w:rsid w:val="00252A6E"/>
    <w:rsid w:val="00253EE2"/>
    <w:rsid w:val="00293046"/>
    <w:rsid w:val="002B2CC0"/>
    <w:rsid w:val="002C405D"/>
    <w:rsid w:val="002D65B8"/>
    <w:rsid w:val="002F0351"/>
    <w:rsid w:val="00307114"/>
    <w:rsid w:val="00327887"/>
    <w:rsid w:val="00376664"/>
    <w:rsid w:val="00380EC4"/>
    <w:rsid w:val="00385F22"/>
    <w:rsid w:val="003E698D"/>
    <w:rsid w:val="003F370B"/>
    <w:rsid w:val="00403411"/>
    <w:rsid w:val="00426C16"/>
    <w:rsid w:val="004977D2"/>
    <w:rsid w:val="004A1218"/>
    <w:rsid w:val="004D5ED4"/>
    <w:rsid w:val="00501077"/>
    <w:rsid w:val="00542B9A"/>
    <w:rsid w:val="00592516"/>
    <w:rsid w:val="005C138C"/>
    <w:rsid w:val="005E223D"/>
    <w:rsid w:val="00610E6B"/>
    <w:rsid w:val="0063244C"/>
    <w:rsid w:val="006544AF"/>
    <w:rsid w:val="00663CD9"/>
    <w:rsid w:val="00666387"/>
    <w:rsid w:val="006A7017"/>
    <w:rsid w:val="006B60D6"/>
    <w:rsid w:val="006C307E"/>
    <w:rsid w:val="006D08C9"/>
    <w:rsid w:val="006E1375"/>
    <w:rsid w:val="007324AA"/>
    <w:rsid w:val="0074265A"/>
    <w:rsid w:val="007641DD"/>
    <w:rsid w:val="007769D1"/>
    <w:rsid w:val="00786331"/>
    <w:rsid w:val="007C0757"/>
    <w:rsid w:val="007C734D"/>
    <w:rsid w:val="007E6CB7"/>
    <w:rsid w:val="008130CD"/>
    <w:rsid w:val="00815951"/>
    <w:rsid w:val="0082024A"/>
    <w:rsid w:val="00833502"/>
    <w:rsid w:val="00835B4F"/>
    <w:rsid w:val="008428B1"/>
    <w:rsid w:val="0084790D"/>
    <w:rsid w:val="008861C1"/>
    <w:rsid w:val="00892643"/>
    <w:rsid w:val="008C2696"/>
    <w:rsid w:val="009315C5"/>
    <w:rsid w:val="00944CD4"/>
    <w:rsid w:val="00983D20"/>
    <w:rsid w:val="009B0142"/>
    <w:rsid w:val="009E0BD5"/>
    <w:rsid w:val="009F0B62"/>
    <w:rsid w:val="00A30EE1"/>
    <w:rsid w:val="00A366E4"/>
    <w:rsid w:val="00A431B5"/>
    <w:rsid w:val="00A45889"/>
    <w:rsid w:val="00A47B97"/>
    <w:rsid w:val="00A54A32"/>
    <w:rsid w:val="00A54CB8"/>
    <w:rsid w:val="00A6735A"/>
    <w:rsid w:val="00A71B72"/>
    <w:rsid w:val="00A734A8"/>
    <w:rsid w:val="00AC1D54"/>
    <w:rsid w:val="00AD0B15"/>
    <w:rsid w:val="00AD695A"/>
    <w:rsid w:val="00AF24A3"/>
    <w:rsid w:val="00AF5069"/>
    <w:rsid w:val="00B0531D"/>
    <w:rsid w:val="00B52F2E"/>
    <w:rsid w:val="00B66DE2"/>
    <w:rsid w:val="00BD6C2D"/>
    <w:rsid w:val="00C252C0"/>
    <w:rsid w:val="00C41291"/>
    <w:rsid w:val="00C61C75"/>
    <w:rsid w:val="00CA3305"/>
    <w:rsid w:val="00CA50A4"/>
    <w:rsid w:val="00CE14D3"/>
    <w:rsid w:val="00CF20E0"/>
    <w:rsid w:val="00D02066"/>
    <w:rsid w:val="00D6465B"/>
    <w:rsid w:val="00D978D3"/>
    <w:rsid w:val="00DC139A"/>
    <w:rsid w:val="00DD2085"/>
    <w:rsid w:val="00DD60B7"/>
    <w:rsid w:val="00DD6780"/>
    <w:rsid w:val="00DE292D"/>
    <w:rsid w:val="00DF2801"/>
    <w:rsid w:val="00DF7FCA"/>
    <w:rsid w:val="00E06530"/>
    <w:rsid w:val="00E078AD"/>
    <w:rsid w:val="00E27264"/>
    <w:rsid w:val="00E300DF"/>
    <w:rsid w:val="00E573D2"/>
    <w:rsid w:val="00E966AF"/>
    <w:rsid w:val="00EA1955"/>
    <w:rsid w:val="00EA2A80"/>
    <w:rsid w:val="00EB7A2A"/>
    <w:rsid w:val="00EC2067"/>
    <w:rsid w:val="00EC6F78"/>
    <w:rsid w:val="00ED6546"/>
    <w:rsid w:val="00EE01F1"/>
    <w:rsid w:val="00EE0EC6"/>
    <w:rsid w:val="00EE188E"/>
    <w:rsid w:val="00F10C5F"/>
    <w:rsid w:val="00F27630"/>
    <w:rsid w:val="00F42DE7"/>
    <w:rsid w:val="00F711FA"/>
    <w:rsid w:val="00F851E2"/>
    <w:rsid w:val="00F85B19"/>
    <w:rsid w:val="00F862F3"/>
    <w:rsid w:val="00F8771B"/>
    <w:rsid w:val="00FA1764"/>
    <w:rsid w:val="00FA4DA6"/>
    <w:rsid w:val="00FB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4697"/>
  <w15:docId w15:val="{545F6682-989B-4336-9982-1FAE6ED3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798"/>
    <w:rPr>
      <w:lang w:eastAsia="en-GB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oje">
    <w:name w:val="footer"/>
    <w:basedOn w:val="Normal"/>
    <w:link w:val="PodnojeChar"/>
    <w:unhideWhenUsed/>
    <w:rsid w:val="00EF05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rsid w:val="00EF05CF"/>
  </w:style>
  <w:style w:type="table" w:styleId="Reetkatablice">
    <w:name w:val="Table Grid"/>
    <w:basedOn w:val="Obinatablica"/>
    <w:uiPriority w:val="39"/>
    <w:rsid w:val="00EF0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Bullet point,List Paragraph1"/>
    <w:basedOn w:val="Normal"/>
    <w:link w:val="OdlomakpopisaChar"/>
    <w:uiPriority w:val="34"/>
    <w:qFormat/>
    <w:rsid w:val="00EF05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lomakpopisaChar">
    <w:name w:val="Odlomak popisa Char"/>
    <w:aliases w:val="Bullet point Char,List Paragraph1 Char"/>
    <w:link w:val="Odlomakpopisa"/>
    <w:uiPriority w:val="34"/>
    <w:locked/>
    <w:rsid w:val="00C51C46"/>
  </w:style>
  <w:style w:type="paragraph" w:styleId="StandardWeb">
    <w:name w:val="Normal (Web)"/>
    <w:basedOn w:val="Normal"/>
    <w:uiPriority w:val="99"/>
    <w:unhideWhenUsed/>
    <w:rsid w:val="00C51C46"/>
    <w:pPr>
      <w:spacing w:before="100" w:beforeAutospacing="1" w:after="100" w:afterAutospacing="1"/>
    </w:pPr>
    <w:rPr>
      <w:rFonts w:ascii="Times" w:eastAsiaTheme="minorHAnsi" w:hAnsi="Times"/>
      <w:sz w:val="20"/>
      <w:szCs w:val="20"/>
      <w:lang w:val="en-US" w:eastAsia="en-US"/>
    </w:rPr>
  </w:style>
  <w:style w:type="character" w:styleId="Hiperveza">
    <w:name w:val="Hyperlink"/>
    <w:basedOn w:val="Zadanifontodlomka"/>
    <w:uiPriority w:val="99"/>
    <w:unhideWhenUsed/>
    <w:rsid w:val="00C51C46"/>
    <w:rPr>
      <w:color w:val="0563C1" w:themeColor="hyperlink"/>
      <w:u w:val="single"/>
    </w:rPr>
  </w:style>
  <w:style w:type="character" w:styleId="Naglaeno">
    <w:name w:val="Strong"/>
    <w:basedOn w:val="Zadanifontodlomka"/>
    <w:uiPriority w:val="22"/>
    <w:qFormat/>
    <w:rsid w:val="00C51C46"/>
    <w:rPr>
      <w:b/>
      <w:bCs/>
    </w:rPr>
  </w:style>
  <w:style w:type="paragraph" w:customStyle="1" w:styleId="gmail-msolistparagraph">
    <w:name w:val="gmail-msolistparagraph"/>
    <w:basedOn w:val="Normal"/>
    <w:rsid w:val="002E7831"/>
    <w:pPr>
      <w:spacing w:before="100" w:beforeAutospacing="1" w:after="100" w:afterAutospacing="1"/>
    </w:pPr>
  </w:style>
  <w:style w:type="character" w:styleId="Referencakomentara">
    <w:name w:val="annotation reference"/>
    <w:basedOn w:val="Zadanifontodlomka"/>
    <w:uiPriority w:val="99"/>
    <w:semiHidden/>
    <w:unhideWhenUsed/>
    <w:rsid w:val="001D72C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D72C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D72C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D72C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D72C9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</w:tblPr>
  </w:style>
  <w:style w:type="table" w:customStyle="1" w:styleId="a0">
    <w:basedOn w:val="Obinatablica"/>
    <w:tblPr>
      <w:tblStyleRowBandSize w:val="1"/>
      <w:tblStyleColBandSize w:val="1"/>
    </w:tblPr>
  </w:style>
  <w:style w:type="table" w:customStyle="1" w:styleId="a1">
    <w:basedOn w:val="Obinatablic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Obinatablica"/>
    <w:tblPr>
      <w:tblStyleRowBandSize w:val="1"/>
      <w:tblStyleColBandSize w:val="1"/>
    </w:tblPr>
  </w:style>
  <w:style w:type="table" w:customStyle="1" w:styleId="a3">
    <w:basedOn w:val="Obinatablica"/>
    <w:tblPr>
      <w:tblStyleRowBandSize w:val="1"/>
      <w:tblStyleColBandSize w:val="1"/>
    </w:tblPr>
  </w:style>
  <w:style w:type="table" w:customStyle="1" w:styleId="a4">
    <w:basedOn w:val="Obinatablica"/>
    <w:tblPr>
      <w:tblStyleRowBandSize w:val="1"/>
      <w:tblStyleColBandSize w:val="1"/>
    </w:tblPr>
  </w:style>
  <w:style w:type="table" w:customStyle="1" w:styleId="a5">
    <w:basedOn w:val="Obinatablica"/>
    <w:tblPr>
      <w:tblStyleRowBandSize w:val="1"/>
      <w:tblStyleColBandSize w:val="1"/>
    </w:tblPr>
  </w:style>
  <w:style w:type="table" w:customStyle="1" w:styleId="a6">
    <w:basedOn w:val="Obinatablica"/>
    <w:tblPr>
      <w:tblStyleRowBandSize w:val="1"/>
      <w:tblStyleColBandSize w:val="1"/>
    </w:tblPr>
  </w:style>
  <w:style w:type="table" w:customStyle="1" w:styleId="a7">
    <w:basedOn w:val="Obinatablica"/>
    <w:tblPr>
      <w:tblStyleRowBandSize w:val="1"/>
      <w:tblStyleColBandSize w:val="1"/>
    </w:tblPr>
  </w:style>
  <w:style w:type="table" w:customStyle="1" w:styleId="a8">
    <w:basedOn w:val="Obinatablic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Obinatablica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AAA8B7F66E647AC24E60BE244CE17" ma:contentTypeVersion="15" ma:contentTypeDescription="Create a new document." ma:contentTypeScope="" ma:versionID="b71bac6b5032b43a2a702ee45ae714ce">
  <xsd:schema xmlns:xsd="http://www.w3.org/2001/XMLSchema" xmlns:xs="http://www.w3.org/2001/XMLSchema" xmlns:p="http://schemas.microsoft.com/office/2006/metadata/properties" xmlns:ns2="0fb5ac2e-6a8b-4002-ac1f-a20a60a6b002" xmlns:ns3="7a307f0c-d9ac-43e0-8130-71467eafe1de" targetNamespace="http://schemas.microsoft.com/office/2006/metadata/properties" ma:root="true" ma:fieldsID="516605d70e5b31ddd229b02d8cb48643" ns2:_="" ns3:_="">
    <xsd:import namespace="0fb5ac2e-6a8b-4002-ac1f-a20a60a6b002"/>
    <xsd:import namespace="7a307f0c-d9ac-43e0-8130-71467eafe1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5ac2e-6a8b-4002-ac1f-a20a60a6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d153239-fd58-4bd4-827e-bb1f110b4e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07f0c-d9ac-43e0-8130-71467eafe1d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0074c2-4538-4e19-9008-ebcca508604e}" ma:internalName="TaxCatchAll" ma:showField="CatchAllData" ma:web="7a307f0c-d9ac-43e0-8130-71467eafe1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Ad++9IUiorOGI/m88wkmaih57Q==">AMUW2mXf2bT9u+NljwIJBEsUgK3DOJca1JFM25hoFQHhmQNVfKDPCpG6FzGTNBdbZ4nLsKVhiqN8jw3w9WJfzMBRD0cANovXPfgMmB352ucVwG6UYnYpEAFlkMBDgd67o0u1sXeay0Rs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b5ac2e-6a8b-4002-ac1f-a20a60a6b002">
      <Terms xmlns="http://schemas.microsoft.com/office/infopath/2007/PartnerControls"/>
    </lcf76f155ced4ddcb4097134ff3c332f>
    <TaxCatchAll xmlns="7a307f0c-d9ac-43e0-8130-71467eafe1de" xsi:nil="true"/>
  </documentManagement>
</p:properties>
</file>

<file path=customXml/itemProps1.xml><?xml version="1.0" encoding="utf-8"?>
<ds:datastoreItem xmlns:ds="http://schemas.openxmlformats.org/officeDocument/2006/customXml" ds:itemID="{7395A515-7B9D-4921-8469-56119387E3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4566B6-EF60-4BF9-8904-BC7192205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5ac2e-6a8b-4002-ac1f-a20a60a6b002"/>
    <ds:schemaRef ds:uri="7a307f0c-d9ac-43e0-8130-71467eafe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8F69D01-76BC-483E-88D4-F5970897B97F}">
  <ds:schemaRefs>
    <ds:schemaRef ds:uri="http://schemas.microsoft.com/office/2006/metadata/properties"/>
    <ds:schemaRef ds:uri="http://schemas.microsoft.com/office/infopath/2007/PartnerControls"/>
    <ds:schemaRef ds:uri="0fb5ac2e-6a8b-4002-ac1f-a20a60a6b002"/>
    <ds:schemaRef ds:uri="7a307f0c-d9ac-43e0-8130-71467eafe1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1986</Words>
  <Characters>11324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Mirela Zagorac</dc:creator>
  <cp:lastModifiedBy>Ankica Mihaljevic</cp:lastModifiedBy>
  <cp:revision>2</cp:revision>
  <dcterms:created xsi:type="dcterms:W3CDTF">2024-12-20T12:45:00Z</dcterms:created>
  <dcterms:modified xsi:type="dcterms:W3CDTF">2024-12-20T12:45:00Z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0x010100222AAA8B7F66E647AC24E60BE244CE17</vt:lpwstr>
  </property>
</Properties>
</file>