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74697" w14:textId="7E12B832" w:rsidR="00786331" w:rsidRDefault="000C54E9">
      <w:pPr>
        <w:jc w:val="both"/>
        <w:rPr>
          <w:b/>
        </w:rPr>
      </w:pPr>
      <w:bookmarkStart w:id="0" w:name="_GoBack"/>
      <w:bookmarkEnd w:id="0"/>
      <w:r>
        <w:rPr>
          <w:b/>
        </w:rPr>
        <w:tab/>
      </w:r>
      <w:r w:rsidR="002B2CC0">
        <w:rPr>
          <w:b/>
        </w:rPr>
        <w:t>OBRAZLOŽENJE POSEBNOG DIJELA FINANCIJSKOG PLANA</w:t>
      </w:r>
    </w:p>
    <w:p w14:paraId="1F374698" w14:textId="77777777" w:rsidR="00786331" w:rsidRDefault="002B2CC0">
      <w:pPr>
        <w:jc w:val="both"/>
        <w:rPr>
          <w:b/>
        </w:rPr>
      </w:pPr>
      <w:r>
        <w:rPr>
          <w:b/>
        </w:rPr>
        <w:t>SVEUČILIŠTE U ZAGREBU FAKULTET STROJARSTVA I BRODOGRADNJE</w:t>
      </w:r>
    </w:p>
    <w:p w14:paraId="1F374699" w14:textId="77777777" w:rsidR="00786331" w:rsidRDefault="002B2CC0">
      <w:pPr>
        <w:jc w:val="both"/>
        <w:rPr>
          <w:b/>
          <w:sz w:val="32"/>
          <w:szCs w:val="32"/>
        </w:rPr>
      </w:pPr>
      <w:r>
        <w:rPr>
          <w:b/>
          <w:sz w:val="32"/>
          <w:szCs w:val="32"/>
        </w:rPr>
        <w:t xml:space="preserve"> za razdoblje 2023.-2025.g.</w:t>
      </w:r>
    </w:p>
    <w:p w14:paraId="1F37469A" w14:textId="77777777" w:rsidR="00786331" w:rsidRDefault="00786331"/>
    <w:p w14:paraId="1F37469B" w14:textId="77777777" w:rsidR="00786331" w:rsidRDefault="002B2CC0">
      <w:pPr>
        <w:pBdr>
          <w:top w:val="dotted" w:sz="4" w:space="1" w:color="808080"/>
          <w:bottom w:val="dotted" w:sz="4" w:space="1" w:color="808080"/>
        </w:pBdr>
        <w:shd w:val="clear" w:color="auto" w:fill="D0CECE"/>
        <w:spacing w:after="160" w:line="259" w:lineRule="auto"/>
        <w:ind w:firstLine="284"/>
        <w:jc w:val="both"/>
        <w:rPr>
          <w:b/>
          <w:sz w:val="28"/>
          <w:szCs w:val="28"/>
        </w:rPr>
      </w:pPr>
      <w:r>
        <w:rPr>
          <w:b/>
          <w:sz w:val="28"/>
          <w:szCs w:val="28"/>
        </w:rPr>
        <w:t>Sažetak djelokruga rada proračunskog korisnika</w:t>
      </w:r>
    </w:p>
    <w:p w14:paraId="1F37469C" w14:textId="77777777" w:rsidR="00786331" w:rsidRDefault="002B2CC0">
      <w:pPr>
        <w:pBdr>
          <w:top w:val="nil"/>
          <w:left w:val="nil"/>
          <w:bottom w:val="nil"/>
          <w:right w:val="nil"/>
          <w:between w:val="nil"/>
        </w:pBdr>
        <w:spacing w:before="280" w:after="280" w:line="276" w:lineRule="auto"/>
        <w:jc w:val="both"/>
      </w:pPr>
      <w:r>
        <w:t>Fakultet strojarstva i brodogradnje Sveučilišta u Zagrebu je vodeća institucija u području strojarstva, brodogradnje i zrakoplovnog inženjerstva u Republici Hrvatskoj. Fakultet ima ulogu povezivanja istraživačkog i nastavnog procesa u svrhu kreiranja novih vrijednosti transferom rezultata istraživačkog rada za dobrobit gospodarstva. Svoju ulogu ostvaruje obrazovanjem stručnjaka kroz preddiplomske, diplomske, poslijediplomske doktorske i poslijediplomske specijalističke studije.</w:t>
      </w:r>
    </w:p>
    <w:p w14:paraId="1F37469D" w14:textId="77777777" w:rsidR="00786331" w:rsidRDefault="002B2CC0">
      <w:pPr>
        <w:pBdr>
          <w:top w:val="nil"/>
          <w:left w:val="nil"/>
          <w:bottom w:val="nil"/>
          <w:right w:val="nil"/>
          <w:between w:val="nil"/>
        </w:pBdr>
        <w:spacing w:before="280" w:after="280" w:line="276" w:lineRule="auto"/>
        <w:jc w:val="both"/>
      </w:pPr>
      <w:r>
        <w:t xml:space="preserve">Na Fakultetu se trenutno izvode 4 preddiplomska (strojarstvo, brodogradnja, zrakoplovno inženjerstvo te mehatronika i robotika) i 3 diplomska studija (strojarstvo, brodogradnja i zrakoplovno inženjerstvo) sa oko 2300 studenata. U akademskoj godini 2024/25. planiran je početak izvođenja diplomskog studija mehatronike i robotike. Studiji brodogradnje i zrakoplovnog inženjerstva  nemaju smjerove već se usmjeravanje u željeno područje struke omogućava izborom odgovarajuće skupine izbornih kolegija. Studij strojarstva nudi sedam smjerova, čime student dobiva blago usmjeravanje prema odabranom području strojarske struke. Diplomski dio studija na FSB daje stručno i znanstveno produbljenje znanja stečenih na preddiplomskom studiju. Završetkom diplomskog studija polaznici su osposobljeni za obavljanje najsloženijih inženjerskih zadaća temeljenih na znanstvenom pristupu rješavanju problema. </w:t>
      </w:r>
    </w:p>
    <w:p w14:paraId="1F37469E" w14:textId="77777777" w:rsidR="00786331" w:rsidRDefault="002B2CC0">
      <w:pPr>
        <w:pBdr>
          <w:top w:val="nil"/>
          <w:left w:val="nil"/>
          <w:bottom w:val="nil"/>
          <w:right w:val="nil"/>
          <w:between w:val="nil"/>
        </w:pBdr>
        <w:spacing w:before="280" w:after="280" w:line="276" w:lineRule="auto"/>
        <w:jc w:val="both"/>
      </w:pPr>
      <w:r>
        <w:t>Na doktorskom studiju je učinjen pomak od nastavno orijentiranog prema istraživački orijentiranom studiju. Poslijediplomski sveučilišni (doktorski) studij Strojarstvo, brodogradnja, zrakoplovstvo, metalurgija izvodi se zajedno s Metalurškim fakultetom po smjerovima koja pripadaju sljedećim znanstvenim poljima: strojarstvo, brodogradnja, zrakoplovstvo, raketna i svemirska tehnika, metalurgija, temeljne tehničke znanosti. Poslijediplomski specijalistički studij Strojarstvo i brodogradnja dio je koncepta cjeloživotnog obrazovanja, s kojim se povećavaju stručna znanja, vještine i kompetencije.</w:t>
      </w:r>
    </w:p>
    <w:p w14:paraId="1F37469F" w14:textId="77777777" w:rsidR="00786331" w:rsidRDefault="002B2CC0">
      <w:pPr>
        <w:pBdr>
          <w:top w:val="nil"/>
          <w:left w:val="nil"/>
          <w:bottom w:val="nil"/>
          <w:right w:val="nil"/>
          <w:between w:val="nil"/>
        </w:pBdr>
        <w:spacing w:line="276" w:lineRule="auto"/>
        <w:jc w:val="both"/>
      </w:pPr>
      <w:r>
        <w:t>Na Fakultetu se ostvaruju znanstveni projekti koji značajno utječu na osobni razvoj nastavnika i podizanje kvalitete i širine nastavnog rada na diplomskoj, a posebno na poslijediplomskoj razini. Svoju djelatnost u europskom okruženju Fakultet ostvaruje kroz različite Europske znanstvene, nastavne i bilateralne projekte te kroz programe razmjene studenata, nastavnog i nenastavnog osoblja.</w:t>
      </w:r>
    </w:p>
    <w:p w14:paraId="1F3746A0" w14:textId="77777777" w:rsidR="00786331" w:rsidRDefault="002B2CC0">
      <w:pPr>
        <w:spacing w:line="276" w:lineRule="auto"/>
        <w:jc w:val="both"/>
      </w:pPr>
      <w:r>
        <w:t xml:space="preserve"> </w:t>
      </w:r>
    </w:p>
    <w:p w14:paraId="1F3746A1" w14:textId="77777777" w:rsidR="00786331" w:rsidRDefault="00786331">
      <w:pPr>
        <w:spacing w:line="276" w:lineRule="auto"/>
        <w:jc w:val="both"/>
      </w:pPr>
    </w:p>
    <w:p w14:paraId="1F3746A2" w14:textId="77777777" w:rsidR="00786331" w:rsidRDefault="00786331">
      <w:pPr>
        <w:spacing w:line="276" w:lineRule="auto"/>
        <w:jc w:val="both"/>
      </w:pPr>
    </w:p>
    <w:p w14:paraId="1F3746A3" w14:textId="77777777" w:rsidR="00786331" w:rsidRDefault="00786331">
      <w:pPr>
        <w:spacing w:line="276" w:lineRule="auto"/>
        <w:jc w:val="both"/>
      </w:pPr>
    </w:p>
    <w:p w14:paraId="1F3746A4" w14:textId="77777777" w:rsidR="00786331" w:rsidRDefault="00786331">
      <w:pPr>
        <w:spacing w:line="276" w:lineRule="auto"/>
        <w:jc w:val="both"/>
      </w:pPr>
    </w:p>
    <w:p w14:paraId="1F3746A5" w14:textId="77777777" w:rsidR="00786331" w:rsidRDefault="00786331">
      <w:pPr>
        <w:spacing w:line="276" w:lineRule="auto"/>
      </w:pPr>
    </w:p>
    <w:p w14:paraId="1F3746A6" w14:textId="77777777" w:rsidR="00786331" w:rsidRDefault="002B2CC0">
      <w:pPr>
        <w:pBdr>
          <w:top w:val="dotted" w:sz="4" w:space="1" w:color="808080"/>
          <w:bottom w:val="dotted" w:sz="4" w:space="1" w:color="808080"/>
        </w:pBdr>
        <w:shd w:val="clear" w:color="auto" w:fill="D0CECE"/>
        <w:spacing w:after="160" w:line="259" w:lineRule="auto"/>
        <w:jc w:val="both"/>
        <w:rPr>
          <w:b/>
          <w:sz w:val="28"/>
          <w:szCs w:val="28"/>
        </w:rPr>
      </w:pPr>
      <w:r>
        <w:rPr>
          <w:b/>
          <w:sz w:val="28"/>
          <w:szCs w:val="28"/>
        </w:rPr>
        <w:lastRenderedPageBreak/>
        <w:t xml:space="preserve">A621001 Redovna djelatnost Sveučilište u Zagrebu </w:t>
      </w:r>
    </w:p>
    <w:p w14:paraId="1F3746A7" w14:textId="77777777" w:rsidR="00786331" w:rsidRDefault="002B2CC0">
      <w:pPr>
        <w:jc w:val="both"/>
        <w:rPr>
          <w:i/>
        </w:rPr>
      </w:pPr>
      <w:r>
        <w:rPr>
          <w:i/>
        </w:rPr>
        <w:t>Zakonske i druge pravne osnove</w:t>
      </w:r>
    </w:p>
    <w:p w14:paraId="1F3746A8" w14:textId="77777777" w:rsidR="00786331" w:rsidRDefault="002B2CC0">
      <w:pPr>
        <w:numPr>
          <w:ilvl w:val="0"/>
          <w:numId w:val="2"/>
        </w:numPr>
        <w:pBdr>
          <w:top w:val="nil"/>
          <w:left w:val="nil"/>
          <w:bottom w:val="nil"/>
          <w:right w:val="nil"/>
          <w:between w:val="nil"/>
        </w:pBdr>
        <w:spacing w:line="276" w:lineRule="auto"/>
        <w:jc w:val="both"/>
      </w:pPr>
      <w:r>
        <w:t xml:space="preserve">Zakon o znanstvenoj djelatnosti i visokom obrazovanju </w:t>
      </w:r>
    </w:p>
    <w:p w14:paraId="1F3746A9" w14:textId="77777777" w:rsidR="00786331" w:rsidRDefault="002B2CC0">
      <w:pPr>
        <w:numPr>
          <w:ilvl w:val="0"/>
          <w:numId w:val="2"/>
        </w:numPr>
        <w:pBdr>
          <w:top w:val="nil"/>
          <w:left w:val="nil"/>
          <w:bottom w:val="nil"/>
          <w:right w:val="nil"/>
          <w:between w:val="nil"/>
        </w:pBdr>
        <w:spacing w:line="276" w:lineRule="auto"/>
        <w:jc w:val="both"/>
      </w:pPr>
      <w:r>
        <w:t xml:space="preserve">Kolektivni ugovor za znanost i visoko obrazovanje </w:t>
      </w:r>
    </w:p>
    <w:p w14:paraId="1F3746AA" w14:textId="77777777" w:rsidR="00786331" w:rsidRDefault="002B2CC0">
      <w:pPr>
        <w:numPr>
          <w:ilvl w:val="0"/>
          <w:numId w:val="2"/>
        </w:numPr>
        <w:pBdr>
          <w:top w:val="nil"/>
          <w:left w:val="nil"/>
          <w:bottom w:val="nil"/>
          <w:right w:val="nil"/>
          <w:between w:val="nil"/>
        </w:pBdr>
        <w:spacing w:line="276" w:lineRule="auto"/>
        <w:jc w:val="both"/>
      </w:pPr>
      <w:r>
        <w:t xml:space="preserve">Zakon o studentskom zboru i drugim studentskim organizacijama </w:t>
      </w:r>
    </w:p>
    <w:p w14:paraId="1F3746AB" w14:textId="77777777" w:rsidR="00786331" w:rsidRDefault="002B2CC0">
      <w:pPr>
        <w:numPr>
          <w:ilvl w:val="0"/>
          <w:numId w:val="2"/>
        </w:numPr>
        <w:pBdr>
          <w:top w:val="nil"/>
          <w:left w:val="nil"/>
          <w:bottom w:val="nil"/>
          <w:right w:val="nil"/>
          <w:between w:val="nil"/>
        </w:pBdr>
        <w:spacing w:line="276" w:lineRule="auto"/>
        <w:jc w:val="both"/>
      </w:pPr>
      <w:r>
        <w:t>Strategija znanosti, obrazovanja i tehnologije</w:t>
      </w:r>
    </w:p>
    <w:p w14:paraId="1F3746AC" w14:textId="77777777" w:rsidR="00786331" w:rsidRDefault="002B2CC0">
      <w:pPr>
        <w:numPr>
          <w:ilvl w:val="0"/>
          <w:numId w:val="2"/>
        </w:numPr>
        <w:pBdr>
          <w:top w:val="nil"/>
          <w:left w:val="nil"/>
          <w:bottom w:val="nil"/>
          <w:right w:val="nil"/>
          <w:between w:val="nil"/>
        </w:pBdr>
        <w:spacing w:line="276" w:lineRule="auto"/>
        <w:jc w:val="both"/>
      </w:pPr>
      <w:bookmarkStart w:id="1" w:name="_heading=h.gjdgxs" w:colFirst="0" w:colLast="0"/>
      <w:bookmarkEnd w:id="1"/>
      <w:r>
        <w:t>Strategija Fakulteta strojarstva i brodogradnje 2014.-2025.</w:t>
      </w:r>
    </w:p>
    <w:p w14:paraId="1F3746AD" w14:textId="77777777" w:rsidR="00786331" w:rsidRDefault="00786331">
      <w:pPr>
        <w:jc w:val="both"/>
        <w:rPr>
          <w:i/>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2"/>
        <w:gridCol w:w="1248"/>
        <w:gridCol w:w="1248"/>
        <w:gridCol w:w="1248"/>
        <w:gridCol w:w="1275"/>
        <w:gridCol w:w="1275"/>
        <w:gridCol w:w="1136"/>
      </w:tblGrid>
      <w:tr w:rsidR="00786331" w14:paraId="1F3746B6" w14:textId="77777777" w:rsidTr="00403411">
        <w:trPr>
          <w:trHeight w:val="817"/>
        </w:trPr>
        <w:tc>
          <w:tcPr>
            <w:tcW w:w="1632" w:type="dxa"/>
            <w:shd w:val="clear" w:color="auto" w:fill="D0CECE"/>
          </w:tcPr>
          <w:p w14:paraId="1F3746AE" w14:textId="77777777" w:rsidR="00786331" w:rsidRDefault="00786331">
            <w:pPr>
              <w:jc w:val="both"/>
            </w:pPr>
          </w:p>
          <w:p w14:paraId="1F3746AF" w14:textId="77777777" w:rsidR="00786331" w:rsidRDefault="00786331">
            <w:pPr>
              <w:jc w:val="both"/>
            </w:pPr>
          </w:p>
        </w:tc>
        <w:tc>
          <w:tcPr>
            <w:tcW w:w="1248" w:type="dxa"/>
            <w:shd w:val="clear" w:color="auto" w:fill="D0CECE"/>
            <w:vAlign w:val="center"/>
          </w:tcPr>
          <w:p w14:paraId="1F3746B0" w14:textId="77777777" w:rsidR="00786331" w:rsidRDefault="002B2CC0">
            <w:pPr>
              <w:jc w:val="center"/>
            </w:pPr>
            <w:r>
              <w:t>Izvršenje 2021.</w:t>
            </w:r>
          </w:p>
        </w:tc>
        <w:tc>
          <w:tcPr>
            <w:tcW w:w="1248" w:type="dxa"/>
            <w:shd w:val="clear" w:color="auto" w:fill="D0CECE"/>
            <w:vAlign w:val="center"/>
          </w:tcPr>
          <w:p w14:paraId="1F3746B1" w14:textId="77777777" w:rsidR="00786331" w:rsidRDefault="002B2CC0">
            <w:pPr>
              <w:jc w:val="center"/>
            </w:pPr>
            <w:r>
              <w:t>Plan 2022.</w:t>
            </w:r>
          </w:p>
        </w:tc>
        <w:tc>
          <w:tcPr>
            <w:tcW w:w="1248" w:type="dxa"/>
            <w:shd w:val="clear" w:color="auto" w:fill="D0CECE"/>
            <w:vAlign w:val="center"/>
          </w:tcPr>
          <w:p w14:paraId="1F3746B2" w14:textId="77777777" w:rsidR="00786331" w:rsidRDefault="002B2CC0">
            <w:pPr>
              <w:jc w:val="center"/>
            </w:pPr>
            <w:r>
              <w:t>Plan 2023.</w:t>
            </w:r>
          </w:p>
        </w:tc>
        <w:tc>
          <w:tcPr>
            <w:tcW w:w="1275" w:type="dxa"/>
            <w:shd w:val="clear" w:color="auto" w:fill="D0CECE"/>
            <w:vAlign w:val="center"/>
          </w:tcPr>
          <w:p w14:paraId="1F3746B3" w14:textId="77777777" w:rsidR="00786331" w:rsidRDefault="002B2CC0">
            <w:pPr>
              <w:jc w:val="center"/>
            </w:pPr>
            <w:r>
              <w:t>Plan 2024.</w:t>
            </w:r>
          </w:p>
        </w:tc>
        <w:tc>
          <w:tcPr>
            <w:tcW w:w="1275" w:type="dxa"/>
            <w:shd w:val="clear" w:color="auto" w:fill="D0CECE"/>
            <w:vAlign w:val="center"/>
          </w:tcPr>
          <w:p w14:paraId="1F3746B4" w14:textId="77777777" w:rsidR="00786331" w:rsidRDefault="002B2CC0">
            <w:pPr>
              <w:jc w:val="center"/>
            </w:pPr>
            <w:r>
              <w:t>Plan 2025.</w:t>
            </w:r>
          </w:p>
        </w:tc>
        <w:tc>
          <w:tcPr>
            <w:tcW w:w="1136" w:type="dxa"/>
            <w:shd w:val="clear" w:color="auto" w:fill="D0CECE"/>
            <w:vAlign w:val="center"/>
          </w:tcPr>
          <w:p w14:paraId="1F3746B5" w14:textId="77777777" w:rsidR="00786331" w:rsidRDefault="002B2CC0">
            <w:pPr>
              <w:jc w:val="center"/>
            </w:pPr>
            <w:r>
              <w:t>Indeks 23./22.</w:t>
            </w:r>
          </w:p>
        </w:tc>
      </w:tr>
      <w:tr w:rsidR="00786331" w14:paraId="1F3746BF" w14:textId="77777777">
        <w:tc>
          <w:tcPr>
            <w:tcW w:w="1632" w:type="dxa"/>
          </w:tcPr>
          <w:p w14:paraId="1F3746B7" w14:textId="77777777" w:rsidR="00786331" w:rsidRDefault="002B2CC0">
            <w:r>
              <w:t>A621001</w:t>
            </w:r>
          </w:p>
          <w:p w14:paraId="1F3746B8" w14:textId="77777777" w:rsidR="00786331" w:rsidRDefault="002B2CC0">
            <w:r>
              <w:t>Redovna djelatnost Fakulteta strojarstva i brodogradnje</w:t>
            </w:r>
          </w:p>
        </w:tc>
        <w:tc>
          <w:tcPr>
            <w:tcW w:w="1248" w:type="dxa"/>
            <w:shd w:val="clear" w:color="auto" w:fill="auto"/>
          </w:tcPr>
          <w:p w14:paraId="1F3746B9" w14:textId="14E98E4D" w:rsidR="00786331" w:rsidRPr="00403411" w:rsidRDefault="00892643">
            <w:pPr>
              <w:jc w:val="both"/>
              <w:rPr>
                <w:sz w:val="20"/>
                <w:szCs w:val="20"/>
              </w:rPr>
            </w:pPr>
            <w:r w:rsidRPr="00403411">
              <w:rPr>
                <w:sz w:val="20"/>
                <w:szCs w:val="20"/>
              </w:rPr>
              <w:t>9.922.570</w:t>
            </w:r>
          </w:p>
        </w:tc>
        <w:tc>
          <w:tcPr>
            <w:tcW w:w="1248" w:type="dxa"/>
          </w:tcPr>
          <w:p w14:paraId="1F3746BA" w14:textId="77777777" w:rsidR="00786331" w:rsidRPr="00403411" w:rsidRDefault="002B2CC0">
            <w:pPr>
              <w:jc w:val="both"/>
              <w:rPr>
                <w:sz w:val="20"/>
                <w:szCs w:val="20"/>
              </w:rPr>
            </w:pPr>
            <w:r w:rsidRPr="00403411">
              <w:rPr>
                <w:sz w:val="20"/>
                <w:szCs w:val="20"/>
              </w:rPr>
              <w:t>9.601.448</w:t>
            </w:r>
          </w:p>
        </w:tc>
        <w:tc>
          <w:tcPr>
            <w:tcW w:w="1248" w:type="dxa"/>
          </w:tcPr>
          <w:p w14:paraId="1F3746BB" w14:textId="596C83DC" w:rsidR="00786331" w:rsidRPr="00403411" w:rsidRDefault="004A1218">
            <w:pPr>
              <w:jc w:val="both"/>
              <w:rPr>
                <w:i/>
                <w:sz w:val="20"/>
                <w:szCs w:val="20"/>
              </w:rPr>
            </w:pPr>
            <w:r>
              <w:rPr>
                <w:i/>
                <w:sz w:val="20"/>
                <w:szCs w:val="20"/>
              </w:rPr>
              <w:t>11.758.265</w:t>
            </w:r>
          </w:p>
        </w:tc>
        <w:tc>
          <w:tcPr>
            <w:tcW w:w="1275" w:type="dxa"/>
          </w:tcPr>
          <w:p w14:paraId="1F3746BC" w14:textId="58658B02" w:rsidR="00786331" w:rsidRPr="00403411" w:rsidRDefault="004A1218">
            <w:pPr>
              <w:jc w:val="both"/>
              <w:rPr>
                <w:sz w:val="20"/>
                <w:szCs w:val="20"/>
              </w:rPr>
            </w:pPr>
            <w:r>
              <w:rPr>
                <w:sz w:val="20"/>
                <w:szCs w:val="20"/>
              </w:rPr>
              <w:t>11.814.114</w:t>
            </w:r>
          </w:p>
        </w:tc>
        <w:tc>
          <w:tcPr>
            <w:tcW w:w="1275" w:type="dxa"/>
          </w:tcPr>
          <w:p w14:paraId="1F3746BD" w14:textId="7B41CB2A" w:rsidR="00786331" w:rsidRPr="00403411" w:rsidRDefault="004A1218">
            <w:pPr>
              <w:jc w:val="both"/>
              <w:rPr>
                <w:sz w:val="20"/>
                <w:szCs w:val="20"/>
              </w:rPr>
            </w:pPr>
            <w:r>
              <w:rPr>
                <w:sz w:val="20"/>
                <w:szCs w:val="20"/>
              </w:rPr>
              <w:t>11.870.248</w:t>
            </w:r>
          </w:p>
        </w:tc>
        <w:tc>
          <w:tcPr>
            <w:tcW w:w="1136" w:type="dxa"/>
          </w:tcPr>
          <w:p w14:paraId="1F3746BE" w14:textId="21141C1F" w:rsidR="00786331" w:rsidRPr="00403411" w:rsidRDefault="004A1218">
            <w:pPr>
              <w:jc w:val="both"/>
              <w:rPr>
                <w:sz w:val="20"/>
                <w:szCs w:val="20"/>
              </w:rPr>
            </w:pPr>
            <w:r>
              <w:rPr>
                <w:sz w:val="20"/>
                <w:szCs w:val="20"/>
              </w:rPr>
              <w:t>122%</w:t>
            </w:r>
          </w:p>
        </w:tc>
      </w:tr>
    </w:tbl>
    <w:p w14:paraId="1F3746C0" w14:textId="77777777" w:rsidR="00786331" w:rsidRDefault="002B2CC0">
      <w:pPr>
        <w:spacing w:before="240"/>
        <w:jc w:val="both"/>
        <w:rPr>
          <w:i/>
        </w:rPr>
      </w:pPr>
      <w:r>
        <w:rPr>
          <w:i/>
        </w:rPr>
        <w:t>Ova aktivnost/ projekt sastoji se od sljedećih elemenata/ podaktivnosti:</w:t>
      </w:r>
    </w:p>
    <w:p w14:paraId="1F3746C1" w14:textId="77777777" w:rsidR="00786331" w:rsidRDefault="002B2CC0">
      <w:pPr>
        <w:numPr>
          <w:ilvl w:val="0"/>
          <w:numId w:val="1"/>
        </w:numPr>
        <w:pBdr>
          <w:top w:val="nil"/>
          <w:left w:val="nil"/>
          <w:bottom w:val="nil"/>
          <w:right w:val="nil"/>
          <w:between w:val="nil"/>
        </w:pBdr>
        <w:spacing w:line="259" w:lineRule="auto"/>
        <w:jc w:val="both"/>
        <w:rPr>
          <w:i/>
          <w:sz w:val="22"/>
          <w:szCs w:val="22"/>
        </w:rPr>
      </w:pPr>
      <w:r>
        <w:rPr>
          <w:i/>
          <w:sz w:val="22"/>
          <w:szCs w:val="22"/>
        </w:rPr>
        <w:t>Financiranja rashoda za plaće</w:t>
      </w:r>
    </w:p>
    <w:p w14:paraId="1F3746C2" w14:textId="77777777" w:rsidR="00786331" w:rsidRDefault="002B2CC0">
      <w:pPr>
        <w:numPr>
          <w:ilvl w:val="0"/>
          <w:numId w:val="1"/>
        </w:numPr>
        <w:pBdr>
          <w:top w:val="nil"/>
          <w:left w:val="nil"/>
          <w:bottom w:val="nil"/>
          <w:right w:val="nil"/>
          <w:between w:val="nil"/>
        </w:pBdr>
        <w:spacing w:line="259" w:lineRule="auto"/>
        <w:jc w:val="both"/>
        <w:rPr>
          <w:i/>
          <w:sz w:val="22"/>
          <w:szCs w:val="22"/>
        </w:rPr>
      </w:pPr>
      <w:r>
        <w:rPr>
          <w:i/>
          <w:sz w:val="22"/>
          <w:szCs w:val="22"/>
        </w:rPr>
        <w:t>Financiranja materijalnih prava zaposlenih</w:t>
      </w:r>
    </w:p>
    <w:p w14:paraId="1F3746C3" w14:textId="77777777" w:rsidR="00786331" w:rsidRDefault="002B2CC0">
      <w:pPr>
        <w:numPr>
          <w:ilvl w:val="0"/>
          <w:numId w:val="1"/>
        </w:numPr>
        <w:pBdr>
          <w:top w:val="nil"/>
          <w:left w:val="nil"/>
          <w:bottom w:val="nil"/>
          <w:right w:val="nil"/>
          <w:between w:val="nil"/>
        </w:pBdr>
        <w:spacing w:after="160" w:line="259" w:lineRule="auto"/>
        <w:jc w:val="both"/>
        <w:rPr>
          <w:i/>
          <w:sz w:val="22"/>
          <w:szCs w:val="22"/>
        </w:rPr>
      </w:pPr>
      <w:r>
        <w:rPr>
          <w:i/>
          <w:sz w:val="22"/>
          <w:szCs w:val="22"/>
        </w:rPr>
        <w:t>Financiranje rada studentskog zbora</w:t>
      </w:r>
    </w:p>
    <w:p w14:paraId="1F3746C4" w14:textId="77777777" w:rsidR="00786331" w:rsidRDefault="002B2CC0">
      <w:pPr>
        <w:jc w:val="both"/>
        <w:rPr>
          <w:i/>
        </w:rPr>
      </w:pPr>
      <w:r>
        <w:rPr>
          <w:i/>
        </w:rPr>
        <w:t xml:space="preserve">Ova aktivnost provodi se svake godine.  </w:t>
      </w:r>
    </w:p>
    <w:p w14:paraId="1F3746C5" w14:textId="77777777" w:rsidR="00786331" w:rsidRDefault="00786331">
      <w:pPr>
        <w:jc w:val="both"/>
        <w:rPr>
          <w:i/>
        </w:rPr>
      </w:pPr>
    </w:p>
    <w:p w14:paraId="1F3746C6" w14:textId="77777777" w:rsidR="00786331" w:rsidRDefault="00786331">
      <w:pPr>
        <w:jc w:val="both"/>
      </w:pPr>
    </w:p>
    <w:p w14:paraId="1F3746C7" w14:textId="77777777" w:rsidR="00786331" w:rsidRDefault="002B2CC0">
      <w:pPr>
        <w:pBdr>
          <w:top w:val="dotted" w:sz="4" w:space="1" w:color="808080"/>
          <w:bottom w:val="dotted" w:sz="4" w:space="1" w:color="808080"/>
        </w:pBdr>
        <w:shd w:val="clear" w:color="auto" w:fill="D0CECE"/>
        <w:spacing w:after="160" w:line="259" w:lineRule="auto"/>
        <w:jc w:val="both"/>
        <w:rPr>
          <w:b/>
          <w:sz w:val="28"/>
          <w:szCs w:val="28"/>
        </w:rPr>
      </w:pPr>
      <w:r>
        <w:rPr>
          <w:b/>
          <w:sz w:val="28"/>
          <w:szCs w:val="28"/>
        </w:rPr>
        <w:t xml:space="preserve">A622122 Programsko financiranje javnih visokih učilišta </w:t>
      </w:r>
    </w:p>
    <w:p w14:paraId="1F3746C8" w14:textId="77777777" w:rsidR="00786331" w:rsidRDefault="002B2CC0">
      <w:pPr>
        <w:jc w:val="both"/>
        <w:rPr>
          <w:i/>
        </w:rPr>
      </w:pPr>
      <w:r>
        <w:rPr>
          <w:i/>
        </w:rPr>
        <w:t>Zakonske i druge pravne osnove</w:t>
      </w:r>
    </w:p>
    <w:p w14:paraId="1F3746C9" w14:textId="77777777" w:rsidR="00786331" w:rsidRDefault="002B2CC0">
      <w:pPr>
        <w:numPr>
          <w:ilvl w:val="0"/>
          <w:numId w:val="2"/>
        </w:numPr>
        <w:pBdr>
          <w:top w:val="nil"/>
          <w:left w:val="nil"/>
          <w:bottom w:val="nil"/>
          <w:right w:val="nil"/>
          <w:between w:val="nil"/>
        </w:pBdr>
        <w:spacing w:line="276" w:lineRule="auto"/>
        <w:jc w:val="both"/>
      </w:pPr>
      <w:r>
        <w:t xml:space="preserve">Zakon o znanstvenoj djelatnosti i visokom obrazovanju </w:t>
      </w:r>
    </w:p>
    <w:p w14:paraId="1F3746CA" w14:textId="77777777" w:rsidR="00786331" w:rsidRDefault="002B2CC0">
      <w:pPr>
        <w:numPr>
          <w:ilvl w:val="0"/>
          <w:numId w:val="2"/>
        </w:numPr>
        <w:pBdr>
          <w:top w:val="nil"/>
          <w:left w:val="nil"/>
          <w:bottom w:val="nil"/>
          <w:right w:val="nil"/>
          <w:between w:val="nil"/>
        </w:pBdr>
        <w:spacing w:line="276" w:lineRule="auto"/>
        <w:jc w:val="both"/>
      </w:pPr>
      <w:r>
        <w:t xml:space="preserve">Odluka o programskom financiranju javnih visokih učilišta u Republici Hrvatskoj u akademskim godinama 2018./19., 2019./2020., 2020./2021. i 2021./2022. </w:t>
      </w:r>
    </w:p>
    <w:p w14:paraId="1F3746CB" w14:textId="77777777" w:rsidR="00786331" w:rsidRDefault="002B2CC0">
      <w:pPr>
        <w:numPr>
          <w:ilvl w:val="0"/>
          <w:numId w:val="2"/>
        </w:numPr>
        <w:pBdr>
          <w:top w:val="nil"/>
          <w:left w:val="nil"/>
          <w:bottom w:val="nil"/>
          <w:right w:val="nil"/>
          <w:between w:val="nil"/>
        </w:pBdr>
        <w:spacing w:line="276" w:lineRule="auto"/>
        <w:jc w:val="both"/>
      </w:pPr>
      <w:r>
        <w:t xml:space="preserve">Zakon o osiguravanju kvalitete u znanosti i visokom obrazovanju </w:t>
      </w:r>
    </w:p>
    <w:p w14:paraId="1F3746CC" w14:textId="77777777" w:rsidR="00786331" w:rsidRDefault="00786331">
      <w:pPr>
        <w:jc w:val="both"/>
        <w:rPr>
          <w:i/>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75"/>
        <w:gridCol w:w="1205"/>
        <w:gridCol w:w="16"/>
        <w:gridCol w:w="1280"/>
        <w:gridCol w:w="16"/>
        <w:gridCol w:w="1280"/>
        <w:gridCol w:w="16"/>
        <w:gridCol w:w="1280"/>
        <w:gridCol w:w="16"/>
        <w:gridCol w:w="1280"/>
        <w:gridCol w:w="16"/>
        <w:gridCol w:w="1059"/>
      </w:tblGrid>
      <w:tr w:rsidR="00786331" w14:paraId="1F3746D5" w14:textId="77777777">
        <w:tc>
          <w:tcPr>
            <w:tcW w:w="1523" w:type="dxa"/>
            <w:shd w:val="clear" w:color="auto" w:fill="D0CECE"/>
          </w:tcPr>
          <w:p w14:paraId="1F3746CD" w14:textId="77777777" w:rsidR="00786331" w:rsidRDefault="00786331">
            <w:pPr>
              <w:jc w:val="both"/>
            </w:pPr>
          </w:p>
          <w:p w14:paraId="1F3746CE" w14:textId="77777777" w:rsidR="00786331" w:rsidRDefault="00786331">
            <w:pPr>
              <w:jc w:val="both"/>
            </w:pPr>
          </w:p>
        </w:tc>
        <w:tc>
          <w:tcPr>
            <w:tcW w:w="1296" w:type="dxa"/>
            <w:gridSpan w:val="3"/>
            <w:shd w:val="clear" w:color="auto" w:fill="D0CECE"/>
            <w:vAlign w:val="center"/>
          </w:tcPr>
          <w:p w14:paraId="1F3746CF" w14:textId="77777777" w:rsidR="00786331" w:rsidRDefault="002B2CC0">
            <w:pPr>
              <w:jc w:val="center"/>
            </w:pPr>
            <w:r>
              <w:t>Izvršenje 2021.</w:t>
            </w:r>
          </w:p>
        </w:tc>
        <w:tc>
          <w:tcPr>
            <w:tcW w:w="1296" w:type="dxa"/>
            <w:gridSpan w:val="2"/>
            <w:shd w:val="clear" w:color="auto" w:fill="D0CECE"/>
            <w:vAlign w:val="center"/>
          </w:tcPr>
          <w:p w14:paraId="1F3746D0" w14:textId="77777777" w:rsidR="00786331" w:rsidRDefault="002B2CC0">
            <w:pPr>
              <w:jc w:val="center"/>
            </w:pPr>
            <w:r>
              <w:t>Plan 2022.</w:t>
            </w:r>
          </w:p>
        </w:tc>
        <w:tc>
          <w:tcPr>
            <w:tcW w:w="1296" w:type="dxa"/>
            <w:gridSpan w:val="2"/>
            <w:shd w:val="clear" w:color="auto" w:fill="D0CECE"/>
            <w:vAlign w:val="center"/>
          </w:tcPr>
          <w:p w14:paraId="1F3746D1" w14:textId="77777777" w:rsidR="00786331" w:rsidRDefault="002B2CC0">
            <w:pPr>
              <w:jc w:val="center"/>
            </w:pPr>
            <w:r>
              <w:t>Plan 2023.</w:t>
            </w:r>
          </w:p>
        </w:tc>
        <w:tc>
          <w:tcPr>
            <w:tcW w:w="1296" w:type="dxa"/>
            <w:gridSpan w:val="2"/>
            <w:shd w:val="clear" w:color="auto" w:fill="D0CECE"/>
            <w:vAlign w:val="center"/>
          </w:tcPr>
          <w:p w14:paraId="1F3746D2" w14:textId="77777777" w:rsidR="00786331" w:rsidRDefault="002B2CC0">
            <w:pPr>
              <w:jc w:val="center"/>
            </w:pPr>
            <w:r>
              <w:t>Plan 2024.</w:t>
            </w:r>
          </w:p>
        </w:tc>
        <w:tc>
          <w:tcPr>
            <w:tcW w:w="1296" w:type="dxa"/>
            <w:gridSpan w:val="2"/>
            <w:shd w:val="clear" w:color="auto" w:fill="D0CECE"/>
            <w:vAlign w:val="center"/>
          </w:tcPr>
          <w:p w14:paraId="1F3746D3" w14:textId="77777777" w:rsidR="00786331" w:rsidRDefault="002B2CC0">
            <w:pPr>
              <w:jc w:val="center"/>
            </w:pPr>
            <w:r>
              <w:t>Plan 2025.</w:t>
            </w:r>
          </w:p>
        </w:tc>
        <w:tc>
          <w:tcPr>
            <w:tcW w:w="1059" w:type="dxa"/>
            <w:shd w:val="clear" w:color="auto" w:fill="D0CECE"/>
            <w:vAlign w:val="center"/>
          </w:tcPr>
          <w:p w14:paraId="1F3746D4" w14:textId="77777777" w:rsidR="00786331" w:rsidRDefault="002B2CC0">
            <w:pPr>
              <w:jc w:val="center"/>
            </w:pPr>
            <w:r>
              <w:t>Indeks 23./22.</w:t>
            </w:r>
          </w:p>
        </w:tc>
      </w:tr>
      <w:tr w:rsidR="00786331" w14:paraId="1F3746DE" w14:textId="77777777">
        <w:tc>
          <w:tcPr>
            <w:tcW w:w="1598" w:type="dxa"/>
            <w:gridSpan w:val="2"/>
          </w:tcPr>
          <w:p w14:paraId="1F3746D6" w14:textId="77777777" w:rsidR="00786331" w:rsidRDefault="002B2CC0">
            <w:r>
              <w:t>A622122</w:t>
            </w:r>
          </w:p>
          <w:p w14:paraId="1F3746D7" w14:textId="77777777" w:rsidR="00786331" w:rsidRDefault="002B2CC0">
            <w:r>
              <w:t xml:space="preserve">Programsko financiranje javnih visokih učilišta </w:t>
            </w:r>
          </w:p>
        </w:tc>
        <w:tc>
          <w:tcPr>
            <w:tcW w:w="1205" w:type="dxa"/>
            <w:shd w:val="clear" w:color="auto" w:fill="auto"/>
          </w:tcPr>
          <w:p w14:paraId="1F3746D8" w14:textId="5F04E342" w:rsidR="00786331" w:rsidRDefault="00892643">
            <w:pPr>
              <w:jc w:val="center"/>
            </w:pPr>
            <w:r>
              <w:t>929.920</w:t>
            </w:r>
          </w:p>
        </w:tc>
        <w:tc>
          <w:tcPr>
            <w:tcW w:w="1296" w:type="dxa"/>
            <w:gridSpan w:val="2"/>
          </w:tcPr>
          <w:p w14:paraId="1F3746D9" w14:textId="77777777" w:rsidR="00786331" w:rsidRDefault="002B2CC0">
            <w:pPr>
              <w:jc w:val="center"/>
            </w:pPr>
            <w:r>
              <w:t>844.090</w:t>
            </w:r>
          </w:p>
        </w:tc>
        <w:tc>
          <w:tcPr>
            <w:tcW w:w="1296" w:type="dxa"/>
            <w:gridSpan w:val="2"/>
          </w:tcPr>
          <w:p w14:paraId="1F3746DA" w14:textId="7FF88276" w:rsidR="00786331" w:rsidRDefault="00403411">
            <w:pPr>
              <w:jc w:val="center"/>
            </w:pPr>
            <w:r>
              <w:t>854.094</w:t>
            </w:r>
          </w:p>
        </w:tc>
        <w:tc>
          <w:tcPr>
            <w:tcW w:w="1296" w:type="dxa"/>
            <w:gridSpan w:val="2"/>
          </w:tcPr>
          <w:p w14:paraId="1F3746DB" w14:textId="7532B33E" w:rsidR="00786331" w:rsidRDefault="00403411">
            <w:pPr>
              <w:jc w:val="center"/>
            </w:pPr>
            <w:r>
              <w:t>854.094</w:t>
            </w:r>
          </w:p>
        </w:tc>
        <w:tc>
          <w:tcPr>
            <w:tcW w:w="1296" w:type="dxa"/>
            <w:gridSpan w:val="2"/>
          </w:tcPr>
          <w:p w14:paraId="1F3746DC" w14:textId="411C1F5A" w:rsidR="00786331" w:rsidRDefault="00403411">
            <w:pPr>
              <w:jc w:val="center"/>
            </w:pPr>
            <w:r>
              <w:t>854.094</w:t>
            </w:r>
          </w:p>
        </w:tc>
        <w:tc>
          <w:tcPr>
            <w:tcW w:w="1075" w:type="dxa"/>
            <w:gridSpan w:val="2"/>
          </w:tcPr>
          <w:p w14:paraId="1F3746DD" w14:textId="3A20D630" w:rsidR="00786331" w:rsidRDefault="00403411" w:rsidP="00403411">
            <w:pPr>
              <w:jc w:val="center"/>
            </w:pPr>
            <w:r>
              <w:t>101</w:t>
            </w:r>
          </w:p>
        </w:tc>
      </w:tr>
    </w:tbl>
    <w:p w14:paraId="1F3746DF" w14:textId="77777777" w:rsidR="00786331" w:rsidRDefault="00786331">
      <w:pPr>
        <w:jc w:val="both"/>
        <w:rPr>
          <w:i/>
        </w:rPr>
      </w:pPr>
    </w:p>
    <w:p w14:paraId="1F3746E0" w14:textId="77777777" w:rsidR="00786331" w:rsidRDefault="002B2CC0">
      <w:pPr>
        <w:jc w:val="both"/>
        <w:rPr>
          <w:i/>
        </w:rPr>
      </w:pPr>
      <w:r>
        <w:rPr>
          <w:i/>
        </w:rPr>
        <w:t>Ova aktivnost provodi se sukladno novom Programskom ugovoru zaključenom u svibnju 2019.g., od akademske godine 2018/19, u 2019/20. te u 2020/21. i 2021/22.g.</w:t>
      </w:r>
    </w:p>
    <w:p w14:paraId="1F3746E1" w14:textId="77777777" w:rsidR="00786331" w:rsidRDefault="00786331">
      <w:pPr>
        <w:jc w:val="both"/>
        <w:rPr>
          <w:i/>
        </w:rPr>
      </w:pPr>
    </w:p>
    <w:p w14:paraId="690E8283" w14:textId="77777777" w:rsidR="00CA50A4" w:rsidRDefault="002B2CC0">
      <w:pPr>
        <w:jc w:val="both"/>
        <w:rPr>
          <w:i/>
        </w:rPr>
      </w:pPr>
      <w:r>
        <w:rPr>
          <w:i/>
        </w:rPr>
        <w:t xml:space="preserve">Sredstva programskog financiranja planiraju se za </w:t>
      </w:r>
      <w:r w:rsidR="00CA50A4">
        <w:rPr>
          <w:i/>
        </w:rPr>
        <w:t>sve tri godine 854.094 eura.</w:t>
      </w:r>
    </w:p>
    <w:p w14:paraId="1F3746E2" w14:textId="1072C998" w:rsidR="00786331" w:rsidRDefault="002B2CC0">
      <w:pPr>
        <w:jc w:val="both"/>
        <w:rPr>
          <w:i/>
        </w:rPr>
      </w:pPr>
      <w:r>
        <w:rPr>
          <w:i/>
        </w:rPr>
        <w:t>.</w:t>
      </w:r>
    </w:p>
    <w:p w14:paraId="1F3746E3" w14:textId="77777777" w:rsidR="00786331" w:rsidRDefault="002B2CC0">
      <w:pPr>
        <w:jc w:val="both"/>
        <w:rPr>
          <w:i/>
        </w:rPr>
      </w:pPr>
      <w:r>
        <w:rPr>
          <w:i/>
        </w:rPr>
        <w:lastRenderedPageBreak/>
        <w:t>Nastavno su prikazani institucijski ciljevi i rezultati koji su predviđeni Programskim ugovorom u predstojećem planskom razdoblju programskog financiranja.</w:t>
      </w:r>
    </w:p>
    <w:p w14:paraId="1F3746E4" w14:textId="77777777" w:rsidR="00786331" w:rsidRDefault="00786331">
      <w:pPr>
        <w:jc w:val="both"/>
        <w:rPr>
          <w:i/>
        </w:rPr>
      </w:pPr>
      <w:bookmarkStart w:id="2" w:name="_heading=h.30j0zll" w:colFirst="0" w:colLast="0"/>
      <w:bookmarkEnd w:id="2"/>
    </w:p>
    <w:tbl>
      <w:tblPr>
        <w:tblStyle w:val="a1"/>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701"/>
        <w:gridCol w:w="1701"/>
        <w:gridCol w:w="1134"/>
        <w:gridCol w:w="1134"/>
        <w:gridCol w:w="851"/>
        <w:gridCol w:w="850"/>
        <w:gridCol w:w="851"/>
      </w:tblGrid>
      <w:tr w:rsidR="00786331" w14:paraId="1F3746ED" w14:textId="77777777">
        <w:tc>
          <w:tcPr>
            <w:tcW w:w="1560" w:type="dxa"/>
            <w:shd w:val="clear" w:color="auto" w:fill="D0CECE"/>
            <w:vAlign w:val="center"/>
          </w:tcPr>
          <w:p w14:paraId="1F3746E5" w14:textId="77777777" w:rsidR="00786331" w:rsidRDefault="002B2CC0">
            <w:pPr>
              <w:jc w:val="both"/>
            </w:pPr>
            <w:r>
              <w:t>Pokazatelj rezultata</w:t>
            </w:r>
          </w:p>
        </w:tc>
        <w:tc>
          <w:tcPr>
            <w:tcW w:w="1701" w:type="dxa"/>
            <w:shd w:val="clear" w:color="auto" w:fill="D0CECE"/>
            <w:vAlign w:val="center"/>
          </w:tcPr>
          <w:p w14:paraId="1F3746E6" w14:textId="77777777" w:rsidR="00786331" w:rsidRDefault="002B2CC0">
            <w:pPr>
              <w:jc w:val="both"/>
            </w:pPr>
            <w:r>
              <w:t>Definicija</w:t>
            </w:r>
          </w:p>
        </w:tc>
        <w:tc>
          <w:tcPr>
            <w:tcW w:w="1701" w:type="dxa"/>
            <w:shd w:val="clear" w:color="auto" w:fill="D0CECE"/>
            <w:vAlign w:val="center"/>
          </w:tcPr>
          <w:p w14:paraId="1F3746E7" w14:textId="77777777" w:rsidR="00786331" w:rsidRDefault="002B2CC0">
            <w:pPr>
              <w:jc w:val="both"/>
            </w:pPr>
            <w:r>
              <w:t>Jedinica</w:t>
            </w:r>
          </w:p>
        </w:tc>
        <w:tc>
          <w:tcPr>
            <w:tcW w:w="1134" w:type="dxa"/>
            <w:shd w:val="clear" w:color="auto" w:fill="D0CECE"/>
            <w:vAlign w:val="center"/>
          </w:tcPr>
          <w:p w14:paraId="1F3746E8" w14:textId="77777777" w:rsidR="00786331" w:rsidRDefault="002B2CC0">
            <w:pPr>
              <w:jc w:val="both"/>
            </w:pPr>
            <w:r>
              <w:t>Polazna vrijednost</w:t>
            </w:r>
          </w:p>
        </w:tc>
        <w:tc>
          <w:tcPr>
            <w:tcW w:w="1134" w:type="dxa"/>
            <w:shd w:val="clear" w:color="auto" w:fill="D0CECE"/>
            <w:vAlign w:val="center"/>
          </w:tcPr>
          <w:p w14:paraId="1F3746E9" w14:textId="77777777" w:rsidR="00786331" w:rsidRDefault="002B2CC0">
            <w:pPr>
              <w:jc w:val="both"/>
            </w:pPr>
            <w:r>
              <w:t>Izvor podataka</w:t>
            </w:r>
          </w:p>
        </w:tc>
        <w:tc>
          <w:tcPr>
            <w:tcW w:w="851" w:type="dxa"/>
            <w:shd w:val="clear" w:color="auto" w:fill="D0CECE"/>
            <w:vAlign w:val="center"/>
          </w:tcPr>
          <w:p w14:paraId="1F3746EA" w14:textId="77777777" w:rsidR="00786331" w:rsidRDefault="002B2CC0">
            <w:pPr>
              <w:jc w:val="both"/>
            </w:pPr>
            <w:r>
              <w:t>Ciljana vrijednost za 2023.</w:t>
            </w:r>
          </w:p>
        </w:tc>
        <w:tc>
          <w:tcPr>
            <w:tcW w:w="850" w:type="dxa"/>
            <w:shd w:val="clear" w:color="auto" w:fill="D0CECE"/>
          </w:tcPr>
          <w:p w14:paraId="1F3746EB" w14:textId="77777777" w:rsidR="00786331" w:rsidRDefault="002B2CC0">
            <w:pPr>
              <w:jc w:val="both"/>
            </w:pPr>
            <w:r>
              <w:t>Ciljana vrijednost za 2024.</w:t>
            </w:r>
          </w:p>
        </w:tc>
        <w:tc>
          <w:tcPr>
            <w:tcW w:w="851" w:type="dxa"/>
            <w:shd w:val="clear" w:color="auto" w:fill="D0CECE"/>
          </w:tcPr>
          <w:p w14:paraId="1F3746EC" w14:textId="77777777" w:rsidR="00786331" w:rsidRDefault="002B2CC0">
            <w:pPr>
              <w:jc w:val="both"/>
            </w:pPr>
            <w:r>
              <w:t>Ciljana vrijednost za 2025.</w:t>
            </w:r>
          </w:p>
        </w:tc>
      </w:tr>
      <w:tr w:rsidR="00786331" w14:paraId="1F3746F6" w14:textId="77777777">
        <w:tc>
          <w:tcPr>
            <w:tcW w:w="1560" w:type="dxa"/>
            <w:tcBorders>
              <w:bottom w:val="single" w:sz="4" w:space="0" w:color="000000"/>
            </w:tcBorders>
            <w:shd w:val="clear" w:color="auto" w:fill="auto"/>
            <w:vAlign w:val="center"/>
          </w:tcPr>
          <w:p w14:paraId="1F3746EE" w14:textId="77777777" w:rsidR="00786331" w:rsidRDefault="002B2CC0">
            <w:pPr>
              <w:jc w:val="both"/>
              <w:rPr>
                <w:i/>
              </w:rPr>
            </w:pPr>
            <w:r>
              <w:rPr>
                <w:i/>
              </w:rPr>
              <w:t>Broj studenata preddiplomskih studija koji su u prethodnoj akademskoj godini stekli minimalno 55 ECTS bodova</w:t>
            </w:r>
          </w:p>
        </w:tc>
        <w:tc>
          <w:tcPr>
            <w:tcW w:w="1701" w:type="dxa"/>
            <w:tcBorders>
              <w:bottom w:val="single" w:sz="4" w:space="0" w:color="000000"/>
            </w:tcBorders>
            <w:shd w:val="clear" w:color="auto" w:fill="auto"/>
            <w:vAlign w:val="center"/>
          </w:tcPr>
          <w:p w14:paraId="1F3746EF" w14:textId="77777777" w:rsidR="00786331" w:rsidRDefault="002B2CC0">
            <w:pPr>
              <w:jc w:val="both"/>
              <w:rPr>
                <w:i/>
              </w:rPr>
            </w:pPr>
            <w:r>
              <w:rPr>
                <w:i/>
              </w:rPr>
              <w:t>Uspješnost studiranja na preddiplomskim studijima</w:t>
            </w:r>
          </w:p>
        </w:tc>
        <w:tc>
          <w:tcPr>
            <w:tcW w:w="1701" w:type="dxa"/>
            <w:tcBorders>
              <w:bottom w:val="single" w:sz="4" w:space="0" w:color="000000"/>
            </w:tcBorders>
            <w:shd w:val="clear" w:color="auto" w:fill="auto"/>
            <w:vAlign w:val="center"/>
          </w:tcPr>
          <w:p w14:paraId="1F3746F0" w14:textId="77777777" w:rsidR="00786331" w:rsidRDefault="002B2CC0">
            <w:pPr>
              <w:jc w:val="both"/>
              <w:rPr>
                <w:i/>
              </w:rPr>
            </w:pPr>
            <w:r>
              <w:rPr>
                <w:i/>
              </w:rPr>
              <w:t>broj osoba</w:t>
            </w:r>
          </w:p>
        </w:tc>
        <w:tc>
          <w:tcPr>
            <w:tcW w:w="1134" w:type="dxa"/>
            <w:tcBorders>
              <w:bottom w:val="single" w:sz="4" w:space="0" w:color="000000"/>
            </w:tcBorders>
            <w:shd w:val="clear" w:color="auto" w:fill="auto"/>
            <w:vAlign w:val="center"/>
          </w:tcPr>
          <w:p w14:paraId="1F3746F1" w14:textId="77777777" w:rsidR="00786331" w:rsidRDefault="002B2CC0">
            <w:pPr>
              <w:jc w:val="both"/>
              <w:rPr>
                <w:i/>
              </w:rPr>
            </w:pPr>
            <w:r>
              <w:rPr>
                <w:i/>
              </w:rPr>
              <w:t>319*</w:t>
            </w:r>
          </w:p>
        </w:tc>
        <w:tc>
          <w:tcPr>
            <w:tcW w:w="1134" w:type="dxa"/>
            <w:tcBorders>
              <w:bottom w:val="single" w:sz="4" w:space="0" w:color="000000"/>
            </w:tcBorders>
            <w:shd w:val="clear" w:color="auto" w:fill="auto"/>
            <w:vAlign w:val="center"/>
          </w:tcPr>
          <w:p w14:paraId="1F3746F2" w14:textId="77777777" w:rsidR="00786331" w:rsidRDefault="002B2CC0">
            <w:pPr>
              <w:jc w:val="both"/>
              <w:rPr>
                <w:i/>
              </w:rPr>
            </w:pPr>
            <w:r>
              <w:rPr>
                <w:i/>
              </w:rPr>
              <w:t>Studentska služba</w:t>
            </w:r>
          </w:p>
        </w:tc>
        <w:tc>
          <w:tcPr>
            <w:tcW w:w="851" w:type="dxa"/>
            <w:tcBorders>
              <w:bottom w:val="single" w:sz="4" w:space="0" w:color="000000"/>
            </w:tcBorders>
            <w:shd w:val="clear" w:color="auto" w:fill="auto"/>
            <w:vAlign w:val="center"/>
          </w:tcPr>
          <w:p w14:paraId="1F3746F3" w14:textId="77777777" w:rsidR="00786331" w:rsidRDefault="002B2CC0">
            <w:pPr>
              <w:jc w:val="both"/>
              <w:rPr>
                <w:i/>
              </w:rPr>
            </w:pPr>
            <w:r>
              <w:rPr>
                <w:i/>
              </w:rPr>
              <w:t>320</w:t>
            </w:r>
          </w:p>
        </w:tc>
        <w:tc>
          <w:tcPr>
            <w:tcW w:w="850" w:type="dxa"/>
            <w:tcBorders>
              <w:bottom w:val="single" w:sz="4" w:space="0" w:color="000000"/>
            </w:tcBorders>
            <w:shd w:val="clear" w:color="auto" w:fill="auto"/>
            <w:vAlign w:val="center"/>
          </w:tcPr>
          <w:p w14:paraId="1F3746F4" w14:textId="77777777" w:rsidR="00786331" w:rsidRDefault="002B2CC0">
            <w:pPr>
              <w:jc w:val="both"/>
              <w:rPr>
                <w:i/>
              </w:rPr>
            </w:pPr>
            <w:r>
              <w:rPr>
                <w:i/>
              </w:rPr>
              <w:t>325</w:t>
            </w:r>
          </w:p>
        </w:tc>
        <w:tc>
          <w:tcPr>
            <w:tcW w:w="851" w:type="dxa"/>
            <w:tcBorders>
              <w:bottom w:val="single" w:sz="4" w:space="0" w:color="000000"/>
            </w:tcBorders>
            <w:shd w:val="clear" w:color="auto" w:fill="auto"/>
            <w:vAlign w:val="center"/>
          </w:tcPr>
          <w:p w14:paraId="1F3746F5" w14:textId="77777777" w:rsidR="00786331" w:rsidRDefault="002B2CC0">
            <w:pPr>
              <w:jc w:val="both"/>
              <w:rPr>
                <w:i/>
              </w:rPr>
            </w:pPr>
            <w:r>
              <w:rPr>
                <w:i/>
              </w:rPr>
              <w:t>330</w:t>
            </w:r>
          </w:p>
        </w:tc>
      </w:tr>
      <w:tr w:rsidR="00786331" w14:paraId="1F3746FF" w14:textId="77777777">
        <w:tc>
          <w:tcPr>
            <w:tcW w:w="1560" w:type="dxa"/>
            <w:tcBorders>
              <w:bottom w:val="single" w:sz="4" w:space="0" w:color="000000"/>
            </w:tcBorders>
            <w:shd w:val="clear" w:color="auto" w:fill="auto"/>
            <w:vAlign w:val="center"/>
          </w:tcPr>
          <w:p w14:paraId="1F3746F7" w14:textId="77777777" w:rsidR="00786331" w:rsidRDefault="002B2CC0">
            <w:pPr>
              <w:jc w:val="both"/>
              <w:rPr>
                <w:i/>
              </w:rPr>
            </w:pPr>
            <w:r>
              <w:rPr>
                <w:i/>
              </w:rPr>
              <w:t>Broj studenata diplomskih studija koji su u prethodnoj akademskoj godini stekli minimalno 55 ECTS bodova</w:t>
            </w:r>
          </w:p>
        </w:tc>
        <w:tc>
          <w:tcPr>
            <w:tcW w:w="1701" w:type="dxa"/>
            <w:tcBorders>
              <w:bottom w:val="single" w:sz="4" w:space="0" w:color="000000"/>
            </w:tcBorders>
            <w:shd w:val="clear" w:color="auto" w:fill="auto"/>
            <w:vAlign w:val="center"/>
          </w:tcPr>
          <w:p w14:paraId="1F3746F8" w14:textId="77777777" w:rsidR="00786331" w:rsidRDefault="002B2CC0">
            <w:pPr>
              <w:jc w:val="both"/>
              <w:rPr>
                <w:i/>
              </w:rPr>
            </w:pPr>
            <w:r>
              <w:rPr>
                <w:i/>
              </w:rPr>
              <w:t>Uspješnost studiranja na diplomskim studijima</w:t>
            </w:r>
          </w:p>
        </w:tc>
        <w:tc>
          <w:tcPr>
            <w:tcW w:w="1701" w:type="dxa"/>
            <w:tcBorders>
              <w:bottom w:val="single" w:sz="4" w:space="0" w:color="000000"/>
            </w:tcBorders>
            <w:shd w:val="clear" w:color="auto" w:fill="auto"/>
            <w:vAlign w:val="center"/>
          </w:tcPr>
          <w:p w14:paraId="1F3746F9" w14:textId="77777777" w:rsidR="00786331" w:rsidRDefault="002B2CC0">
            <w:pPr>
              <w:jc w:val="both"/>
              <w:rPr>
                <w:i/>
              </w:rPr>
            </w:pPr>
            <w:r>
              <w:rPr>
                <w:i/>
              </w:rPr>
              <w:t>broj osoba</w:t>
            </w:r>
          </w:p>
        </w:tc>
        <w:tc>
          <w:tcPr>
            <w:tcW w:w="1134" w:type="dxa"/>
            <w:tcBorders>
              <w:bottom w:val="single" w:sz="4" w:space="0" w:color="000000"/>
            </w:tcBorders>
            <w:shd w:val="clear" w:color="auto" w:fill="auto"/>
            <w:vAlign w:val="center"/>
          </w:tcPr>
          <w:p w14:paraId="1F3746FA" w14:textId="77777777" w:rsidR="00786331" w:rsidRDefault="002B2CC0">
            <w:pPr>
              <w:jc w:val="both"/>
              <w:rPr>
                <w:i/>
              </w:rPr>
            </w:pPr>
            <w:r>
              <w:rPr>
                <w:i/>
              </w:rPr>
              <w:t>136*</w:t>
            </w:r>
          </w:p>
        </w:tc>
        <w:tc>
          <w:tcPr>
            <w:tcW w:w="1134" w:type="dxa"/>
            <w:tcBorders>
              <w:bottom w:val="single" w:sz="4" w:space="0" w:color="000000"/>
            </w:tcBorders>
            <w:shd w:val="clear" w:color="auto" w:fill="auto"/>
            <w:vAlign w:val="center"/>
          </w:tcPr>
          <w:p w14:paraId="1F3746FB" w14:textId="77777777" w:rsidR="00786331" w:rsidRDefault="002B2CC0">
            <w:pPr>
              <w:jc w:val="both"/>
              <w:rPr>
                <w:i/>
              </w:rPr>
            </w:pPr>
            <w:r>
              <w:rPr>
                <w:i/>
              </w:rPr>
              <w:t>Studentska služba</w:t>
            </w:r>
          </w:p>
        </w:tc>
        <w:tc>
          <w:tcPr>
            <w:tcW w:w="851" w:type="dxa"/>
            <w:tcBorders>
              <w:bottom w:val="single" w:sz="4" w:space="0" w:color="000000"/>
            </w:tcBorders>
            <w:shd w:val="clear" w:color="auto" w:fill="auto"/>
            <w:vAlign w:val="center"/>
          </w:tcPr>
          <w:p w14:paraId="1F3746FC" w14:textId="77777777" w:rsidR="00786331" w:rsidRDefault="002B2CC0">
            <w:pPr>
              <w:jc w:val="both"/>
              <w:rPr>
                <w:i/>
              </w:rPr>
            </w:pPr>
            <w:r>
              <w:rPr>
                <w:i/>
              </w:rPr>
              <w:t>140</w:t>
            </w:r>
          </w:p>
        </w:tc>
        <w:tc>
          <w:tcPr>
            <w:tcW w:w="850" w:type="dxa"/>
            <w:tcBorders>
              <w:bottom w:val="single" w:sz="4" w:space="0" w:color="000000"/>
            </w:tcBorders>
            <w:shd w:val="clear" w:color="auto" w:fill="auto"/>
            <w:vAlign w:val="center"/>
          </w:tcPr>
          <w:p w14:paraId="1F3746FD" w14:textId="77777777" w:rsidR="00786331" w:rsidRDefault="002B2CC0">
            <w:pPr>
              <w:jc w:val="both"/>
              <w:rPr>
                <w:i/>
              </w:rPr>
            </w:pPr>
            <w:r>
              <w:rPr>
                <w:i/>
              </w:rPr>
              <w:t>145</w:t>
            </w:r>
          </w:p>
        </w:tc>
        <w:tc>
          <w:tcPr>
            <w:tcW w:w="851" w:type="dxa"/>
            <w:tcBorders>
              <w:bottom w:val="single" w:sz="4" w:space="0" w:color="000000"/>
            </w:tcBorders>
            <w:shd w:val="clear" w:color="auto" w:fill="auto"/>
            <w:vAlign w:val="center"/>
          </w:tcPr>
          <w:p w14:paraId="1F3746FE" w14:textId="77777777" w:rsidR="00786331" w:rsidRDefault="002B2CC0">
            <w:pPr>
              <w:jc w:val="both"/>
              <w:rPr>
                <w:i/>
              </w:rPr>
            </w:pPr>
            <w:r>
              <w:rPr>
                <w:i/>
              </w:rPr>
              <w:t>150</w:t>
            </w:r>
          </w:p>
        </w:tc>
      </w:tr>
      <w:tr w:rsidR="00786331" w14:paraId="1F374708" w14:textId="77777777">
        <w:tc>
          <w:tcPr>
            <w:tcW w:w="1560" w:type="dxa"/>
            <w:tcBorders>
              <w:bottom w:val="single" w:sz="4" w:space="0" w:color="000000"/>
            </w:tcBorders>
            <w:shd w:val="clear" w:color="auto" w:fill="auto"/>
            <w:vAlign w:val="center"/>
          </w:tcPr>
          <w:p w14:paraId="1F374700" w14:textId="77777777" w:rsidR="00786331" w:rsidRDefault="002B2CC0">
            <w:pPr>
              <w:jc w:val="both"/>
              <w:rPr>
                <w:i/>
              </w:rPr>
            </w:pPr>
            <w:r>
              <w:rPr>
                <w:i/>
              </w:rPr>
              <w:t>Omjer broja završenih studenata u akademskoj godini i broja studenata preddiplomskih studija upisanih u prvu godinu te akademske godine</w:t>
            </w:r>
          </w:p>
        </w:tc>
        <w:tc>
          <w:tcPr>
            <w:tcW w:w="1701" w:type="dxa"/>
            <w:tcBorders>
              <w:bottom w:val="single" w:sz="4" w:space="0" w:color="000000"/>
            </w:tcBorders>
            <w:shd w:val="clear" w:color="auto" w:fill="auto"/>
            <w:vAlign w:val="center"/>
          </w:tcPr>
          <w:p w14:paraId="1F374701" w14:textId="77777777" w:rsidR="00786331" w:rsidRDefault="002B2CC0">
            <w:pPr>
              <w:jc w:val="both"/>
              <w:rPr>
                <w:i/>
              </w:rPr>
            </w:pPr>
            <w:r>
              <w:rPr>
                <w:i/>
              </w:rPr>
              <w:t>Efikasnost studiranja na preddiplomskim studijima</w:t>
            </w:r>
          </w:p>
        </w:tc>
        <w:tc>
          <w:tcPr>
            <w:tcW w:w="1701" w:type="dxa"/>
            <w:tcBorders>
              <w:bottom w:val="single" w:sz="4" w:space="0" w:color="000000"/>
            </w:tcBorders>
            <w:shd w:val="clear" w:color="auto" w:fill="auto"/>
            <w:vAlign w:val="center"/>
          </w:tcPr>
          <w:p w14:paraId="1F374702" w14:textId="77777777" w:rsidR="00786331" w:rsidRDefault="002B2CC0">
            <w:pPr>
              <w:jc w:val="both"/>
              <w:rPr>
                <w:i/>
              </w:rPr>
            </w:pPr>
            <w:r>
              <w:rPr>
                <w:i/>
              </w:rPr>
              <w:t>postotak</w:t>
            </w:r>
          </w:p>
        </w:tc>
        <w:tc>
          <w:tcPr>
            <w:tcW w:w="1134" w:type="dxa"/>
            <w:tcBorders>
              <w:bottom w:val="single" w:sz="4" w:space="0" w:color="000000"/>
            </w:tcBorders>
            <w:shd w:val="clear" w:color="auto" w:fill="auto"/>
            <w:vAlign w:val="center"/>
          </w:tcPr>
          <w:p w14:paraId="1F374703" w14:textId="77777777" w:rsidR="00786331" w:rsidRDefault="002B2CC0">
            <w:pPr>
              <w:jc w:val="both"/>
              <w:rPr>
                <w:i/>
              </w:rPr>
            </w:pPr>
            <w:r>
              <w:rPr>
                <w:i/>
              </w:rPr>
              <w:t>41,3%*</w:t>
            </w:r>
          </w:p>
        </w:tc>
        <w:tc>
          <w:tcPr>
            <w:tcW w:w="1134" w:type="dxa"/>
            <w:tcBorders>
              <w:bottom w:val="single" w:sz="4" w:space="0" w:color="000000"/>
            </w:tcBorders>
            <w:shd w:val="clear" w:color="auto" w:fill="auto"/>
            <w:vAlign w:val="center"/>
          </w:tcPr>
          <w:p w14:paraId="1F374704" w14:textId="77777777" w:rsidR="00786331" w:rsidRDefault="002B2CC0">
            <w:pPr>
              <w:jc w:val="both"/>
              <w:rPr>
                <w:i/>
              </w:rPr>
            </w:pPr>
            <w:r>
              <w:rPr>
                <w:i/>
              </w:rPr>
              <w:t>Studentska služba</w:t>
            </w:r>
          </w:p>
        </w:tc>
        <w:tc>
          <w:tcPr>
            <w:tcW w:w="851" w:type="dxa"/>
            <w:tcBorders>
              <w:bottom w:val="single" w:sz="4" w:space="0" w:color="000000"/>
            </w:tcBorders>
            <w:shd w:val="clear" w:color="auto" w:fill="auto"/>
            <w:vAlign w:val="center"/>
          </w:tcPr>
          <w:p w14:paraId="1F374705" w14:textId="77777777" w:rsidR="00786331" w:rsidRDefault="002B2CC0">
            <w:pPr>
              <w:jc w:val="both"/>
              <w:rPr>
                <w:i/>
              </w:rPr>
            </w:pPr>
            <w:r>
              <w:rPr>
                <w:i/>
              </w:rPr>
              <w:t>42%</w:t>
            </w:r>
          </w:p>
        </w:tc>
        <w:tc>
          <w:tcPr>
            <w:tcW w:w="850" w:type="dxa"/>
            <w:tcBorders>
              <w:bottom w:val="single" w:sz="4" w:space="0" w:color="000000"/>
            </w:tcBorders>
            <w:shd w:val="clear" w:color="auto" w:fill="auto"/>
            <w:vAlign w:val="center"/>
          </w:tcPr>
          <w:p w14:paraId="1F374706" w14:textId="77777777" w:rsidR="00786331" w:rsidRDefault="002B2CC0">
            <w:pPr>
              <w:jc w:val="both"/>
              <w:rPr>
                <w:i/>
              </w:rPr>
            </w:pPr>
            <w:r>
              <w:rPr>
                <w:i/>
              </w:rPr>
              <w:t>44%</w:t>
            </w:r>
          </w:p>
        </w:tc>
        <w:tc>
          <w:tcPr>
            <w:tcW w:w="851" w:type="dxa"/>
            <w:tcBorders>
              <w:bottom w:val="single" w:sz="4" w:space="0" w:color="000000"/>
            </w:tcBorders>
            <w:shd w:val="clear" w:color="auto" w:fill="auto"/>
            <w:vAlign w:val="center"/>
          </w:tcPr>
          <w:p w14:paraId="1F374707" w14:textId="77777777" w:rsidR="00786331" w:rsidRDefault="002B2CC0">
            <w:pPr>
              <w:jc w:val="both"/>
              <w:rPr>
                <w:i/>
              </w:rPr>
            </w:pPr>
            <w:r>
              <w:rPr>
                <w:i/>
              </w:rPr>
              <w:t>46%</w:t>
            </w:r>
          </w:p>
        </w:tc>
      </w:tr>
      <w:tr w:rsidR="00786331" w14:paraId="1F374711" w14:textId="77777777">
        <w:tc>
          <w:tcPr>
            <w:tcW w:w="1560" w:type="dxa"/>
            <w:tcBorders>
              <w:bottom w:val="single" w:sz="4" w:space="0" w:color="000000"/>
            </w:tcBorders>
            <w:shd w:val="clear" w:color="auto" w:fill="auto"/>
            <w:tcMar>
              <w:left w:w="108" w:type="dxa"/>
              <w:right w:w="108" w:type="dxa"/>
            </w:tcMar>
            <w:vAlign w:val="center"/>
          </w:tcPr>
          <w:p w14:paraId="1F374709" w14:textId="77777777" w:rsidR="00786331" w:rsidRDefault="002B2CC0">
            <w:pPr>
              <w:jc w:val="both"/>
            </w:pPr>
            <w:r>
              <w:rPr>
                <w:i/>
              </w:rPr>
              <w:t>Omjer broja završenih studenata u akademskoj godini i broja studenata diplomskih studija upisanih u prvu godinu te akademske godine</w:t>
            </w:r>
          </w:p>
        </w:tc>
        <w:tc>
          <w:tcPr>
            <w:tcW w:w="1701" w:type="dxa"/>
            <w:tcBorders>
              <w:bottom w:val="single" w:sz="4" w:space="0" w:color="000000"/>
            </w:tcBorders>
            <w:shd w:val="clear" w:color="auto" w:fill="auto"/>
            <w:tcMar>
              <w:left w:w="108" w:type="dxa"/>
              <w:right w:w="108" w:type="dxa"/>
            </w:tcMar>
            <w:vAlign w:val="center"/>
          </w:tcPr>
          <w:p w14:paraId="1F37470A" w14:textId="77777777" w:rsidR="00786331" w:rsidRDefault="002B2CC0">
            <w:pPr>
              <w:jc w:val="both"/>
            </w:pPr>
            <w:r>
              <w:rPr>
                <w:i/>
              </w:rPr>
              <w:t>Efikasnost studiranja na diplomskim studijima</w:t>
            </w:r>
          </w:p>
        </w:tc>
        <w:tc>
          <w:tcPr>
            <w:tcW w:w="1701" w:type="dxa"/>
            <w:tcBorders>
              <w:bottom w:val="single" w:sz="4" w:space="0" w:color="000000"/>
            </w:tcBorders>
            <w:shd w:val="clear" w:color="auto" w:fill="auto"/>
            <w:tcMar>
              <w:left w:w="108" w:type="dxa"/>
              <w:right w:w="108" w:type="dxa"/>
            </w:tcMar>
            <w:vAlign w:val="center"/>
          </w:tcPr>
          <w:p w14:paraId="1F37470B" w14:textId="77777777" w:rsidR="00786331" w:rsidRDefault="002B2CC0">
            <w:pPr>
              <w:jc w:val="both"/>
            </w:pPr>
            <w:r>
              <w:rPr>
                <w:i/>
              </w:rPr>
              <w:t>postotak</w:t>
            </w:r>
          </w:p>
        </w:tc>
        <w:tc>
          <w:tcPr>
            <w:tcW w:w="1134" w:type="dxa"/>
            <w:tcBorders>
              <w:bottom w:val="single" w:sz="4" w:space="0" w:color="000000"/>
            </w:tcBorders>
            <w:shd w:val="clear" w:color="auto" w:fill="auto"/>
            <w:tcMar>
              <w:left w:w="108" w:type="dxa"/>
              <w:right w:w="108" w:type="dxa"/>
            </w:tcMar>
            <w:vAlign w:val="center"/>
          </w:tcPr>
          <w:p w14:paraId="1F37470C" w14:textId="77777777" w:rsidR="00786331" w:rsidRDefault="002B2CC0">
            <w:pPr>
              <w:jc w:val="both"/>
            </w:pPr>
            <w:r>
              <w:rPr>
                <w:i/>
              </w:rPr>
              <w:t>83,8%*</w:t>
            </w:r>
          </w:p>
        </w:tc>
        <w:tc>
          <w:tcPr>
            <w:tcW w:w="1134" w:type="dxa"/>
            <w:tcBorders>
              <w:bottom w:val="single" w:sz="4" w:space="0" w:color="000000"/>
            </w:tcBorders>
            <w:shd w:val="clear" w:color="auto" w:fill="auto"/>
            <w:tcMar>
              <w:left w:w="108" w:type="dxa"/>
              <w:right w:w="108" w:type="dxa"/>
            </w:tcMar>
            <w:vAlign w:val="center"/>
          </w:tcPr>
          <w:p w14:paraId="1F37470D" w14:textId="77777777" w:rsidR="00786331" w:rsidRDefault="002B2CC0">
            <w:pPr>
              <w:jc w:val="both"/>
            </w:pPr>
            <w:r>
              <w:rPr>
                <w:i/>
              </w:rPr>
              <w:t>Studentska služba</w:t>
            </w:r>
          </w:p>
        </w:tc>
        <w:tc>
          <w:tcPr>
            <w:tcW w:w="851" w:type="dxa"/>
            <w:tcBorders>
              <w:bottom w:val="single" w:sz="4" w:space="0" w:color="000000"/>
            </w:tcBorders>
            <w:shd w:val="clear" w:color="auto" w:fill="auto"/>
            <w:tcMar>
              <w:left w:w="108" w:type="dxa"/>
              <w:right w:w="108" w:type="dxa"/>
            </w:tcMar>
            <w:vAlign w:val="center"/>
          </w:tcPr>
          <w:p w14:paraId="1F37470E" w14:textId="77777777" w:rsidR="00786331" w:rsidRDefault="002B2CC0">
            <w:pPr>
              <w:jc w:val="both"/>
            </w:pPr>
            <w:r>
              <w:rPr>
                <w:i/>
              </w:rPr>
              <w:t>84%</w:t>
            </w:r>
          </w:p>
        </w:tc>
        <w:tc>
          <w:tcPr>
            <w:tcW w:w="850" w:type="dxa"/>
            <w:tcBorders>
              <w:bottom w:val="single" w:sz="4" w:space="0" w:color="000000"/>
            </w:tcBorders>
            <w:shd w:val="clear" w:color="auto" w:fill="auto"/>
            <w:tcMar>
              <w:left w:w="108" w:type="dxa"/>
              <w:right w:w="108" w:type="dxa"/>
            </w:tcMar>
            <w:vAlign w:val="center"/>
          </w:tcPr>
          <w:p w14:paraId="1F37470F" w14:textId="77777777" w:rsidR="00786331" w:rsidRDefault="002B2CC0">
            <w:pPr>
              <w:jc w:val="both"/>
            </w:pPr>
            <w:r>
              <w:rPr>
                <w:i/>
              </w:rPr>
              <w:t>85%</w:t>
            </w:r>
          </w:p>
        </w:tc>
        <w:tc>
          <w:tcPr>
            <w:tcW w:w="851" w:type="dxa"/>
            <w:tcBorders>
              <w:bottom w:val="single" w:sz="4" w:space="0" w:color="000000"/>
            </w:tcBorders>
            <w:shd w:val="clear" w:color="auto" w:fill="auto"/>
            <w:tcMar>
              <w:left w:w="108" w:type="dxa"/>
              <w:right w:w="108" w:type="dxa"/>
            </w:tcMar>
            <w:vAlign w:val="center"/>
          </w:tcPr>
          <w:p w14:paraId="1F374710" w14:textId="77777777" w:rsidR="00786331" w:rsidRDefault="002B2CC0">
            <w:pPr>
              <w:jc w:val="both"/>
            </w:pPr>
            <w:r>
              <w:rPr>
                <w:i/>
              </w:rPr>
              <w:t>86%</w:t>
            </w:r>
          </w:p>
        </w:tc>
      </w:tr>
      <w:tr w:rsidR="00786331" w14:paraId="1F37471A" w14:textId="77777777">
        <w:tc>
          <w:tcPr>
            <w:tcW w:w="1560" w:type="dxa"/>
            <w:tcMar>
              <w:left w:w="108" w:type="dxa"/>
              <w:right w:w="108" w:type="dxa"/>
            </w:tcMar>
            <w:vAlign w:val="center"/>
          </w:tcPr>
          <w:p w14:paraId="1F374712" w14:textId="77777777" w:rsidR="00786331" w:rsidRDefault="002B2CC0">
            <w:pPr>
              <w:jc w:val="both"/>
            </w:pPr>
            <w:r>
              <w:rPr>
                <w:i/>
              </w:rPr>
              <w:t xml:space="preserve">Broj radova objavljenih u časopisima uvedenim u </w:t>
            </w:r>
            <w:r>
              <w:rPr>
                <w:i/>
              </w:rPr>
              <w:lastRenderedPageBreak/>
              <w:t>bazi Web of Science (objavljenih tijekom jedne godine)</w:t>
            </w:r>
          </w:p>
        </w:tc>
        <w:tc>
          <w:tcPr>
            <w:tcW w:w="1701" w:type="dxa"/>
            <w:tcMar>
              <w:left w:w="108" w:type="dxa"/>
              <w:right w:w="108" w:type="dxa"/>
            </w:tcMar>
            <w:vAlign w:val="center"/>
          </w:tcPr>
          <w:p w14:paraId="1F374713" w14:textId="77777777" w:rsidR="00786331" w:rsidRDefault="002B2CC0">
            <w:pPr>
              <w:jc w:val="both"/>
            </w:pPr>
            <w:r>
              <w:rPr>
                <w:i/>
              </w:rPr>
              <w:lastRenderedPageBreak/>
              <w:t>Znanstvena produktivnosti</w:t>
            </w:r>
          </w:p>
        </w:tc>
        <w:tc>
          <w:tcPr>
            <w:tcW w:w="1701" w:type="dxa"/>
            <w:tcMar>
              <w:left w:w="108" w:type="dxa"/>
              <w:right w:w="108" w:type="dxa"/>
            </w:tcMar>
            <w:vAlign w:val="center"/>
          </w:tcPr>
          <w:p w14:paraId="1F374714" w14:textId="77777777" w:rsidR="00786331" w:rsidRDefault="002B2CC0">
            <w:pPr>
              <w:jc w:val="both"/>
            </w:pPr>
            <w:r>
              <w:rPr>
                <w:i/>
              </w:rPr>
              <w:t>broj radova</w:t>
            </w:r>
          </w:p>
        </w:tc>
        <w:tc>
          <w:tcPr>
            <w:tcW w:w="1134" w:type="dxa"/>
            <w:tcMar>
              <w:left w:w="108" w:type="dxa"/>
              <w:right w:w="108" w:type="dxa"/>
            </w:tcMar>
            <w:vAlign w:val="center"/>
          </w:tcPr>
          <w:p w14:paraId="1F374715" w14:textId="77777777" w:rsidR="00786331" w:rsidRDefault="002B2CC0">
            <w:pPr>
              <w:jc w:val="both"/>
            </w:pPr>
            <w:r>
              <w:rPr>
                <w:i/>
              </w:rPr>
              <w:t>186**</w:t>
            </w:r>
          </w:p>
        </w:tc>
        <w:tc>
          <w:tcPr>
            <w:tcW w:w="1134" w:type="dxa"/>
            <w:tcMar>
              <w:left w:w="108" w:type="dxa"/>
              <w:right w:w="108" w:type="dxa"/>
            </w:tcMar>
            <w:vAlign w:val="center"/>
          </w:tcPr>
          <w:p w14:paraId="1F374716" w14:textId="77777777" w:rsidR="00786331" w:rsidRDefault="002B2CC0">
            <w:pPr>
              <w:jc w:val="both"/>
            </w:pPr>
            <w:r>
              <w:rPr>
                <w:i/>
              </w:rPr>
              <w:t>Knjižnica</w:t>
            </w:r>
          </w:p>
        </w:tc>
        <w:tc>
          <w:tcPr>
            <w:tcW w:w="851" w:type="dxa"/>
            <w:tcMar>
              <w:left w:w="108" w:type="dxa"/>
              <w:right w:w="108" w:type="dxa"/>
            </w:tcMar>
            <w:vAlign w:val="center"/>
          </w:tcPr>
          <w:p w14:paraId="1F374717" w14:textId="77777777" w:rsidR="00786331" w:rsidRDefault="002B2CC0">
            <w:pPr>
              <w:jc w:val="both"/>
            </w:pPr>
            <w:r>
              <w:rPr>
                <w:i/>
              </w:rPr>
              <w:t>190</w:t>
            </w:r>
          </w:p>
        </w:tc>
        <w:tc>
          <w:tcPr>
            <w:tcW w:w="850" w:type="dxa"/>
            <w:tcMar>
              <w:left w:w="108" w:type="dxa"/>
              <w:right w:w="108" w:type="dxa"/>
            </w:tcMar>
            <w:vAlign w:val="center"/>
          </w:tcPr>
          <w:p w14:paraId="1F374718" w14:textId="77777777" w:rsidR="00786331" w:rsidRDefault="002B2CC0">
            <w:pPr>
              <w:jc w:val="both"/>
            </w:pPr>
            <w:r>
              <w:rPr>
                <w:i/>
              </w:rPr>
              <w:t>195</w:t>
            </w:r>
          </w:p>
        </w:tc>
        <w:tc>
          <w:tcPr>
            <w:tcW w:w="851" w:type="dxa"/>
            <w:tcMar>
              <w:left w:w="108" w:type="dxa"/>
              <w:right w:w="108" w:type="dxa"/>
            </w:tcMar>
            <w:vAlign w:val="center"/>
          </w:tcPr>
          <w:p w14:paraId="1F374719" w14:textId="77777777" w:rsidR="00786331" w:rsidRDefault="002B2CC0">
            <w:pPr>
              <w:jc w:val="both"/>
            </w:pPr>
            <w:r>
              <w:rPr>
                <w:i/>
              </w:rPr>
              <w:t>200</w:t>
            </w:r>
          </w:p>
        </w:tc>
      </w:tr>
    </w:tbl>
    <w:p w14:paraId="1F37471B" w14:textId="77777777" w:rsidR="00786331" w:rsidRDefault="00786331">
      <w:pPr>
        <w:jc w:val="both"/>
      </w:pPr>
    </w:p>
    <w:p w14:paraId="1F37471C" w14:textId="77777777" w:rsidR="00786331" w:rsidRDefault="00786331">
      <w:pPr>
        <w:jc w:val="both"/>
      </w:pPr>
    </w:p>
    <w:p w14:paraId="1F37471D" w14:textId="3D0EC6C1" w:rsidR="00786331" w:rsidRDefault="002B2CC0">
      <w:pPr>
        <w:pBdr>
          <w:top w:val="dotted" w:sz="4" w:space="1" w:color="808080"/>
          <w:bottom w:val="dotted" w:sz="4" w:space="1" w:color="808080"/>
        </w:pBdr>
        <w:shd w:val="clear" w:color="auto" w:fill="D0CECE"/>
        <w:spacing w:after="160" w:line="259" w:lineRule="auto"/>
        <w:jc w:val="both"/>
        <w:rPr>
          <w:b/>
          <w:sz w:val="28"/>
          <w:szCs w:val="28"/>
        </w:rPr>
      </w:pPr>
      <w:r>
        <w:rPr>
          <w:b/>
          <w:sz w:val="28"/>
          <w:szCs w:val="28"/>
        </w:rPr>
        <w:t xml:space="preserve">A621181 </w:t>
      </w:r>
      <w:r w:rsidR="00403411">
        <w:rPr>
          <w:b/>
          <w:sz w:val="28"/>
          <w:szCs w:val="28"/>
        </w:rPr>
        <w:t>P</w:t>
      </w:r>
      <w:r>
        <w:rPr>
          <w:b/>
          <w:sz w:val="28"/>
          <w:szCs w:val="28"/>
        </w:rPr>
        <w:t>ravomoćne sudske presude</w:t>
      </w:r>
    </w:p>
    <w:p w14:paraId="1F37471E" w14:textId="77777777" w:rsidR="00786331" w:rsidRDefault="00786331">
      <w:pPr>
        <w:ind w:left="360"/>
        <w:jc w:val="both"/>
        <w:rPr>
          <w:i/>
        </w:rPr>
      </w:pP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8"/>
        <w:gridCol w:w="1241"/>
        <w:gridCol w:w="1201"/>
        <w:gridCol w:w="1215"/>
        <w:gridCol w:w="1200"/>
        <w:gridCol w:w="1201"/>
        <w:gridCol w:w="1216"/>
      </w:tblGrid>
      <w:tr w:rsidR="00786331" w14:paraId="1F374727" w14:textId="77777777">
        <w:tc>
          <w:tcPr>
            <w:tcW w:w="1788" w:type="dxa"/>
            <w:shd w:val="clear" w:color="auto" w:fill="D0CECE"/>
          </w:tcPr>
          <w:p w14:paraId="1F37471F" w14:textId="77777777" w:rsidR="00786331" w:rsidRDefault="00786331">
            <w:pPr>
              <w:jc w:val="both"/>
            </w:pPr>
          </w:p>
          <w:p w14:paraId="1F374720" w14:textId="77777777" w:rsidR="00786331" w:rsidRDefault="00786331">
            <w:pPr>
              <w:jc w:val="both"/>
            </w:pPr>
          </w:p>
        </w:tc>
        <w:tc>
          <w:tcPr>
            <w:tcW w:w="1241" w:type="dxa"/>
            <w:shd w:val="clear" w:color="auto" w:fill="auto"/>
            <w:vAlign w:val="center"/>
          </w:tcPr>
          <w:p w14:paraId="1F374721" w14:textId="77777777" w:rsidR="00786331" w:rsidRDefault="002B2CC0">
            <w:pPr>
              <w:jc w:val="center"/>
            </w:pPr>
            <w:r>
              <w:t>Izvršenje 2021.</w:t>
            </w:r>
          </w:p>
        </w:tc>
        <w:tc>
          <w:tcPr>
            <w:tcW w:w="1201" w:type="dxa"/>
            <w:shd w:val="clear" w:color="auto" w:fill="auto"/>
            <w:vAlign w:val="center"/>
          </w:tcPr>
          <w:p w14:paraId="1F374722" w14:textId="77777777" w:rsidR="00786331" w:rsidRDefault="002B2CC0">
            <w:pPr>
              <w:jc w:val="center"/>
            </w:pPr>
            <w:r>
              <w:t>Plan 2022.</w:t>
            </w:r>
          </w:p>
        </w:tc>
        <w:tc>
          <w:tcPr>
            <w:tcW w:w="1215" w:type="dxa"/>
            <w:shd w:val="clear" w:color="auto" w:fill="D0CECE"/>
            <w:vAlign w:val="center"/>
          </w:tcPr>
          <w:p w14:paraId="1F374723" w14:textId="77777777" w:rsidR="00786331" w:rsidRDefault="002B2CC0">
            <w:pPr>
              <w:jc w:val="center"/>
            </w:pPr>
            <w:r>
              <w:t>Plan 2023.</w:t>
            </w:r>
          </w:p>
        </w:tc>
        <w:tc>
          <w:tcPr>
            <w:tcW w:w="1200" w:type="dxa"/>
            <w:shd w:val="clear" w:color="auto" w:fill="D0CECE"/>
            <w:vAlign w:val="center"/>
          </w:tcPr>
          <w:p w14:paraId="1F374724" w14:textId="77777777" w:rsidR="00786331" w:rsidRDefault="002B2CC0">
            <w:pPr>
              <w:jc w:val="center"/>
            </w:pPr>
            <w:r>
              <w:t>Plan 2024.</w:t>
            </w:r>
          </w:p>
        </w:tc>
        <w:tc>
          <w:tcPr>
            <w:tcW w:w="1201" w:type="dxa"/>
            <w:shd w:val="clear" w:color="auto" w:fill="D0CECE"/>
            <w:vAlign w:val="center"/>
          </w:tcPr>
          <w:p w14:paraId="1F374725" w14:textId="77777777" w:rsidR="00786331" w:rsidRDefault="002B2CC0">
            <w:pPr>
              <w:jc w:val="center"/>
            </w:pPr>
            <w:r>
              <w:t>Plan 2025.</w:t>
            </w:r>
          </w:p>
        </w:tc>
        <w:tc>
          <w:tcPr>
            <w:tcW w:w="1216" w:type="dxa"/>
            <w:shd w:val="clear" w:color="auto" w:fill="D0CECE"/>
            <w:vAlign w:val="center"/>
          </w:tcPr>
          <w:p w14:paraId="1F374726" w14:textId="77777777" w:rsidR="00786331" w:rsidRDefault="002B2CC0">
            <w:pPr>
              <w:jc w:val="center"/>
            </w:pPr>
            <w:r>
              <w:t>Indeks 23./22.</w:t>
            </w:r>
          </w:p>
        </w:tc>
      </w:tr>
      <w:tr w:rsidR="00786331" w14:paraId="1F374730" w14:textId="77777777">
        <w:tc>
          <w:tcPr>
            <w:tcW w:w="1788" w:type="dxa"/>
          </w:tcPr>
          <w:p w14:paraId="1F374728" w14:textId="77777777" w:rsidR="00786331" w:rsidRDefault="002B2CC0">
            <w:r>
              <w:t>A621181 Pravomoćne sudske presude</w:t>
            </w:r>
          </w:p>
          <w:p w14:paraId="1F374729" w14:textId="77777777" w:rsidR="00786331" w:rsidRDefault="00786331">
            <w:pPr>
              <w:pBdr>
                <w:top w:val="dotted" w:sz="4" w:space="1" w:color="808080"/>
                <w:bottom w:val="dotted" w:sz="4" w:space="1" w:color="808080"/>
              </w:pBdr>
              <w:shd w:val="clear" w:color="auto" w:fill="D0CECE"/>
              <w:jc w:val="both"/>
            </w:pPr>
          </w:p>
        </w:tc>
        <w:tc>
          <w:tcPr>
            <w:tcW w:w="1241" w:type="dxa"/>
            <w:shd w:val="clear" w:color="auto" w:fill="auto"/>
          </w:tcPr>
          <w:p w14:paraId="1F37472A" w14:textId="77777777" w:rsidR="00786331" w:rsidRDefault="002B2CC0">
            <w:pPr>
              <w:jc w:val="both"/>
            </w:pPr>
            <w:r>
              <w:t>0</w:t>
            </w:r>
          </w:p>
        </w:tc>
        <w:tc>
          <w:tcPr>
            <w:tcW w:w="1201" w:type="dxa"/>
          </w:tcPr>
          <w:p w14:paraId="1F37472B" w14:textId="77777777" w:rsidR="00786331" w:rsidRDefault="002B2CC0">
            <w:pPr>
              <w:jc w:val="both"/>
            </w:pPr>
            <w:r>
              <w:t>0</w:t>
            </w:r>
          </w:p>
        </w:tc>
        <w:tc>
          <w:tcPr>
            <w:tcW w:w="1215" w:type="dxa"/>
          </w:tcPr>
          <w:p w14:paraId="1F37472C" w14:textId="77A1F0A2" w:rsidR="00786331" w:rsidRDefault="00403411">
            <w:pPr>
              <w:jc w:val="both"/>
            </w:pPr>
            <w:r>
              <w:t>43.152</w:t>
            </w:r>
          </w:p>
        </w:tc>
        <w:tc>
          <w:tcPr>
            <w:tcW w:w="1200" w:type="dxa"/>
          </w:tcPr>
          <w:p w14:paraId="1F37472D" w14:textId="4E2BB684" w:rsidR="00786331" w:rsidRDefault="00403411" w:rsidP="00403411">
            <w:pPr>
              <w:jc w:val="both"/>
            </w:pPr>
            <w:r>
              <w:t>43.152</w:t>
            </w:r>
          </w:p>
        </w:tc>
        <w:tc>
          <w:tcPr>
            <w:tcW w:w="1201" w:type="dxa"/>
          </w:tcPr>
          <w:p w14:paraId="1F37472E" w14:textId="59EC0293" w:rsidR="00786331" w:rsidRDefault="00403411" w:rsidP="00403411">
            <w:pPr>
              <w:jc w:val="both"/>
            </w:pPr>
            <w:r>
              <w:t>43.152</w:t>
            </w:r>
          </w:p>
        </w:tc>
        <w:tc>
          <w:tcPr>
            <w:tcW w:w="1216" w:type="dxa"/>
          </w:tcPr>
          <w:p w14:paraId="1F37472F" w14:textId="77777777" w:rsidR="00786331" w:rsidRDefault="002B2CC0">
            <w:pPr>
              <w:jc w:val="both"/>
            </w:pPr>
            <w:r>
              <w:t>-</w:t>
            </w:r>
          </w:p>
        </w:tc>
      </w:tr>
    </w:tbl>
    <w:p w14:paraId="1F374731" w14:textId="77777777" w:rsidR="00786331" w:rsidRDefault="00786331">
      <w:pPr>
        <w:jc w:val="both"/>
        <w:rPr>
          <w:i/>
        </w:rPr>
      </w:pPr>
    </w:p>
    <w:p w14:paraId="1F374732" w14:textId="0B1652F2" w:rsidR="00786331" w:rsidRDefault="002B2CC0">
      <w:pPr>
        <w:jc w:val="both"/>
      </w:pPr>
      <w:r>
        <w:t xml:space="preserve">Ova aktivnost planira se provesti </w:t>
      </w:r>
      <w:r w:rsidR="001C43B0">
        <w:t>kroz</w:t>
      </w:r>
      <w:r>
        <w:t xml:space="preserve"> </w:t>
      </w:r>
      <w:r w:rsidR="008C2696">
        <w:t>sve tri g</w:t>
      </w:r>
      <w:r>
        <w:t>odin</w:t>
      </w:r>
      <w:r w:rsidR="008C2696">
        <w:t>e</w:t>
      </w:r>
      <w:r>
        <w:t>.</w:t>
      </w:r>
    </w:p>
    <w:p w14:paraId="1F374733" w14:textId="77777777" w:rsidR="00786331" w:rsidRDefault="00786331">
      <w:pPr>
        <w:jc w:val="both"/>
        <w:rPr>
          <w:i/>
        </w:rPr>
      </w:pPr>
    </w:p>
    <w:p w14:paraId="1F374734" w14:textId="77777777" w:rsidR="00786331" w:rsidRDefault="002B2CC0">
      <w:pPr>
        <w:pBdr>
          <w:top w:val="dotted" w:sz="4" w:space="1" w:color="808080"/>
          <w:bottom w:val="dotted" w:sz="4" w:space="1" w:color="808080"/>
        </w:pBdr>
        <w:shd w:val="clear" w:color="auto" w:fill="D0CECE"/>
        <w:spacing w:after="160" w:line="259" w:lineRule="auto"/>
        <w:jc w:val="both"/>
        <w:rPr>
          <w:b/>
          <w:sz w:val="28"/>
          <w:szCs w:val="28"/>
        </w:rPr>
      </w:pPr>
      <w:r>
        <w:rPr>
          <w:b/>
          <w:sz w:val="28"/>
          <w:szCs w:val="28"/>
        </w:rPr>
        <w:t>A679088 Redovna djelatnost Sveučilišta u Zagrebu (iz evidencijskih prihoda)</w:t>
      </w:r>
    </w:p>
    <w:p w14:paraId="1F374735" w14:textId="77777777" w:rsidR="00786331" w:rsidRDefault="002B2CC0">
      <w:pPr>
        <w:jc w:val="both"/>
        <w:rPr>
          <w:i/>
        </w:rPr>
      </w:pPr>
      <w:r>
        <w:rPr>
          <w:i/>
        </w:rPr>
        <w:t>Zakonske i druge pravne osnove</w:t>
      </w:r>
    </w:p>
    <w:p w14:paraId="1F374736" w14:textId="77777777" w:rsidR="00786331" w:rsidRDefault="00786331">
      <w:pPr>
        <w:jc w:val="both"/>
        <w:rPr>
          <w:i/>
        </w:rPr>
      </w:pPr>
    </w:p>
    <w:p w14:paraId="1F374737" w14:textId="77777777" w:rsidR="00786331" w:rsidRDefault="002B2CC0">
      <w:pPr>
        <w:numPr>
          <w:ilvl w:val="0"/>
          <w:numId w:val="2"/>
        </w:numPr>
        <w:pBdr>
          <w:top w:val="nil"/>
          <w:left w:val="nil"/>
          <w:bottom w:val="nil"/>
          <w:right w:val="nil"/>
          <w:between w:val="nil"/>
        </w:pBdr>
        <w:spacing w:line="276" w:lineRule="auto"/>
        <w:jc w:val="both"/>
      </w:pPr>
      <w:r>
        <w:t xml:space="preserve">Zakon o znanstvenoj djelatnosti i visokom obrazovanju </w:t>
      </w:r>
    </w:p>
    <w:p w14:paraId="1F374738" w14:textId="77777777" w:rsidR="00786331" w:rsidRDefault="002B2CC0">
      <w:pPr>
        <w:numPr>
          <w:ilvl w:val="0"/>
          <w:numId w:val="2"/>
        </w:numPr>
        <w:pBdr>
          <w:top w:val="nil"/>
          <w:left w:val="nil"/>
          <w:bottom w:val="nil"/>
          <w:right w:val="nil"/>
          <w:between w:val="nil"/>
        </w:pBdr>
        <w:spacing w:line="276" w:lineRule="auto"/>
        <w:jc w:val="both"/>
      </w:pPr>
      <w:r>
        <w:t xml:space="preserve">Kolektivni ugovor za znanost i visoko obrazovanje </w:t>
      </w:r>
    </w:p>
    <w:p w14:paraId="1F374739" w14:textId="77777777" w:rsidR="00786331" w:rsidRDefault="002B2CC0">
      <w:pPr>
        <w:numPr>
          <w:ilvl w:val="0"/>
          <w:numId w:val="2"/>
        </w:numPr>
        <w:pBdr>
          <w:top w:val="nil"/>
          <w:left w:val="nil"/>
          <w:bottom w:val="nil"/>
          <w:right w:val="nil"/>
          <w:between w:val="nil"/>
        </w:pBdr>
        <w:spacing w:line="276" w:lineRule="auto"/>
        <w:jc w:val="both"/>
      </w:pPr>
      <w:r>
        <w:t xml:space="preserve">Zakon o studentskom zboru i drugim studentskim organizacijama </w:t>
      </w:r>
    </w:p>
    <w:p w14:paraId="1F37473A" w14:textId="77777777" w:rsidR="00786331" w:rsidRDefault="002B2CC0">
      <w:pPr>
        <w:numPr>
          <w:ilvl w:val="0"/>
          <w:numId w:val="2"/>
        </w:numPr>
        <w:pBdr>
          <w:top w:val="nil"/>
          <w:left w:val="nil"/>
          <w:bottom w:val="nil"/>
          <w:right w:val="nil"/>
          <w:between w:val="nil"/>
        </w:pBdr>
        <w:spacing w:line="276" w:lineRule="auto"/>
        <w:jc w:val="both"/>
      </w:pPr>
      <w:r>
        <w:t xml:space="preserve">Strategija znanosti, obrazovanja i tehnologije, </w:t>
      </w:r>
    </w:p>
    <w:p w14:paraId="1F37473B" w14:textId="77777777" w:rsidR="00786331" w:rsidRDefault="002B2CC0">
      <w:pPr>
        <w:numPr>
          <w:ilvl w:val="0"/>
          <w:numId w:val="2"/>
        </w:numPr>
        <w:pBdr>
          <w:top w:val="nil"/>
          <w:left w:val="nil"/>
          <w:bottom w:val="nil"/>
          <w:right w:val="nil"/>
          <w:between w:val="nil"/>
        </w:pBdr>
        <w:spacing w:line="276" w:lineRule="auto"/>
        <w:jc w:val="both"/>
      </w:pPr>
      <w:r>
        <w:t>Strategija Fakulteta strojarstva i brodogradnje 2014.-2025.</w:t>
      </w:r>
    </w:p>
    <w:p w14:paraId="1F37473C" w14:textId="77777777" w:rsidR="00786331" w:rsidRDefault="00786331">
      <w:pPr>
        <w:pBdr>
          <w:top w:val="nil"/>
          <w:left w:val="nil"/>
          <w:bottom w:val="nil"/>
          <w:right w:val="nil"/>
          <w:between w:val="nil"/>
        </w:pBdr>
        <w:spacing w:after="160" w:line="259" w:lineRule="auto"/>
        <w:jc w:val="both"/>
        <w:rPr>
          <w:i/>
          <w:sz w:val="22"/>
          <w:szCs w:val="22"/>
        </w:rPr>
      </w:pPr>
    </w:p>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2"/>
        <w:gridCol w:w="1296"/>
        <w:gridCol w:w="1296"/>
        <w:gridCol w:w="1296"/>
        <w:gridCol w:w="1296"/>
        <w:gridCol w:w="1296"/>
        <w:gridCol w:w="990"/>
      </w:tblGrid>
      <w:tr w:rsidR="00786331" w14:paraId="1F374745" w14:textId="77777777">
        <w:tc>
          <w:tcPr>
            <w:tcW w:w="1592" w:type="dxa"/>
            <w:shd w:val="clear" w:color="auto" w:fill="D0CECE"/>
          </w:tcPr>
          <w:p w14:paraId="1F37473D" w14:textId="77777777" w:rsidR="00786331" w:rsidRDefault="00786331">
            <w:pPr>
              <w:jc w:val="both"/>
            </w:pPr>
          </w:p>
          <w:p w14:paraId="1F37473E" w14:textId="77777777" w:rsidR="00786331" w:rsidRDefault="00786331">
            <w:pPr>
              <w:jc w:val="both"/>
            </w:pPr>
          </w:p>
        </w:tc>
        <w:tc>
          <w:tcPr>
            <w:tcW w:w="1296" w:type="dxa"/>
            <w:shd w:val="clear" w:color="auto" w:fill="D0CECE"/>
            <w:vAlign w:val="center"/>
          </w:tcPr>
          <w:p w14:paraId="1F37473F" w14:textId="77777777" w:rsidR="00786331" w:rsidRDefault="002B2CC0">
            <w:pPr>
              <w:jc w:val="center"/>
            </w:pPr>
            <w:r>
              <w:t>Izvršenje 2021.</w:t>
            </w:r>
          </w:p>
        </w:tc>
        <w:tc>
          <w:tcPr>
            <w:tcW w:w="1296" w:type="dxa"/>
            <w:shd w:val="clear" w:color="auto" w:fill="D0CECE"/>
            <w:vAlign w:val="center"/>
          </w:tcPr>
          <w:p w14:paraId="1F374740" w14:textId="77777777" w:rsidR="00786331" w:rsidRDefault="002B2CC0">
            <w:pPr>
              <w:jc w:val="center"/>
            </w:pPr>
            <w:r>
              <w:t>Plan 2022.</w:t>
            </w:r>
          </w:p>
        </w:tc>
        <w:tc>
          <w:tcPr>
            <w:tcW w:w="1296" w:type="dxa"/>
            <w:shd w:val="clear" w:color="auto" w:fill="D0CECE"/>
            <w:vAlign w:val="center"/>
          </w:tcPr>
          <w:p w14:paraId="1F374741" w14:textId="77777777" w:rsidR="00786331" w:rsidRDefault="002B2CC0">
            <w:pPr>
              <w:jc w:val="center"/>
            </w:pPr>
            <w:r>
              <w:t>Plan 2023.</w:t>
            </w:r>
          </w:p>
        </w:tc>
        <w:tc>
          <w:tcPr>
            <w:tcW w:w="1296" w:type="dxa"/>
            <w:shd w:val="clear" w:color="auto" w:fill="D0CECE"/>
            <w:vAlign w:val="center"/>
          </w:tcPr>
          <w:p w14:paraId="1F374742" w14:textId="77777777" w:rsidR="00786331" w:rsidRDefault="002B2CC0">
            <w:pPr>
              <w:jc w:val="center"/>
            </w:pPr>
            <w:r>
              <w:t>Plan 2024.</w:t>
            </w:r>
          </w:p>
        </w:tc>
        <w:tc>
          <w:tcPr>
            <w:tcW w:w="1296" w:type="dxa"/>
            <w:shd w:val="clear" w:color="auto" w:fill="D0CECE"/>
            <w:vAlign w:val="center"/>
          </w:tcPr>
          <w:p w14:paraId="1F374743" w14:textId="77777777" w:rsidR="00786331" w:rsidRDefault="002B2CC0">
            <w:pPr>
              <w:jc w:val="center"/>
            </w:pPr>
            <w:r>
              <w:t>Plan 2025.</w:t>
            </w:r>
          </w:p>
        </w:tc>
        <w:tc>
          <w:tcPr>
            <w:tcW w:w="990" w:type="dxa"/>
            <w:shd w:val="clear" w:color="auto" w:fill="D0CECE"/>
            <w:vAlign w:val="center"/>
          </w:tcPr>
          <w:p w14:paraId="1F374744" w14:textId="77777777" w:rsidR="00786331" w:rsidRDefault="002B2CC0">
            <w:pPr>
              <w:jc w:val="center"/>
            </w:pPr>
            <w:r>
              <w:t>Indeks 23./22.</w:t>
            </w:r>
          </w:p>
        </w:tc>
      </w:tr>
      <w:tr w:rsidR="00786331" w14:paraId="1F37474E" w14:textId="77777777">
        <w:tc>
          <w:tcPr>
            <w:tcW w:w="1592" w:type="dxa"/>
          </w:tcPr>
          <w:p w14:paraId="1F374746" w14:textId="77777777" w:rsidR="00786331" w:rsidRDefault="002B2CC0">
            <w:r>
              <w:t>A679088</w:t>
            </w:r>
          </w:p>
          <w:p w14:paraId="1F374747" w14:textId="77777777" w:rsidR="00786331" w:rsidRDefault="002B2CC0">
            <w:r>
              <w:t>Redovna djelatnost Sveučilišta u Zagrebu iz evidencijskih prihoda)</w:t>
            </w:r>
          </w:p>
        </w:tc>
        <w:tc>
          <w:tcPr>
            <w:tcW w:w="1296" w:type="dxa"/>
            <w:shd w:val="clear" w:color="auto" w:fill="auto"/>
          </w:tcPr>
          <w:p w14:paraId="598F3929" w14:textId="77777777" w:rsidR="00786331" w:rsidRDefault="00892643">
            <w:pPr>
              <w:jc w:val="both"/>
            </w:pPr>
            <w:r>
              <w:t>9.679.531</w:t>
            </w:r>
          </w:p>
          <w:p w14:paraId="1F374748" w14:textId="77777777" w:rsidR="00892643" w:rsidRDefault="00892643">
            <w:pPr>
              <w:jc w:val="both"/>
            </w:pPr>
          </w:p>
        </w:tc>
        <w:tc>
          <w:tcPr>
            <w:tcW w:w="1296" w:type="dxa"/>
          </w:tcPr>
          <w:p w14:paraId="1F374749" w14:textId="77777777" w:rsidR="00786331" w:rsidRDefault="002B2CC0">
            <w:pPr>
              <w:jc w:val="both"/>
            </w:pPr>
            <w:r>
              <w:t>2.804.121</w:t>
            </w:r>
          </w:p>
        </w:tc>
        <w:tc>
          <w:tcPr>
            <w:tcW w:w="1296" w:type="dxa"/>
          </w:tcPr>
          <w:p w14:paraId="1F37474A" w14:textId="444EED8D" w:rsidR="00786331" w:rsidRDefault="00307114">
            <w:pPr>
              <w:jc w:val="both"/>
            </w:pPr>
            <w:r>
              <w:t>5.461.777</w:t>
            </w:r>
          </w:p>
        </w:tc>
        <w:tc>
          <w:tcPr>
            <w:tcW w:w="1296" w:type="dxa"/>
          </w:tcPr>
          <w:p w14:paraId="1F37474B" w14:textId="77777777" w:rsidR="00786331" w:rsidRDefault="002B2CC0">
            <w:pPr>
              <w:jc w:val="both"/>
            </w:pPr>
            <w:r>
              <w:t>4.314.204</w:t>
            </w:r>
          </w:p>
        </w:tc>
        <w:tc>
          <w:tcPr>
            <w:tcW w:w="1296" w:type="dxa"/>
          </w:tcPr>
          <w:p w14:paraId="1F37474C" w14:textId="77777777" w:rsidR="00786331" w:rsidRDefault="002B2CC0">
            <w:pPr>
              <w:jc w:val="both"/>
            </w:pPr>
            <w:r>
              <w:t>4.210.099</w:t>
            </w:r>
          </w:p>
        </w:tc>
        <w:tc>
          <w:tcPr>
            <w:tcW w:w="990" w:type="dxa"/>
          </w:tcPr>
          <w:p w14:paraId="1F37474D" w14:textId="3C74F1A8" w:rsidR="00786331" w:rsidRDefault="00307114">
            <w:pPr>
              <w:jc w:val="both"/>
            </w:pPr>
            <w:r>
              <w:t>195</w:t>
            </w:r>
          </w:p>
        </w:tc>
      </w:tr>
    </w:tbl>
    <w:p w14:paraId="1F37474F" w14:textId="6690C018" w:rsidR="00786331" w:rsidRDefault="00786331">
      <w:pPr>
        <w:jc w:val="both"/>
        <w:rPr>
          <w:i/>
        </w:rPr>
      </w:pPr>
    </w:p>
    <w:p w14:paraId="1F374750" w14:textId="77777777" w:rsidR="00786331" w:rsidRDefault="002B2CC0">
      <w:pPr>
        <w:jc w:val="both"/>
        <w:rPr>
          <w:i/>
        </w:rPr>
      </w:pPr>
      <w:r>
        <w:rPr>
          <w:i/>
        </w:rPr>
        <w:t xml:space="preserve">Ova aktivnost provodi se svake godine.  </w:t>
      </w:r>
    </w:p>
    <w:p w14:paraId="1F374751" w14:textId="77777777" w:rsidR="00786331" w:rsidRDefault="002B2CC0">
      <w:pPr>
        <w:jc w:val="both"/>
        <w:rPr>
          <w:i/>
        </w:rPr>
      </w:pPr>
      <w:r>
        <w:rPr>
          <w:i/>
        </w:rPr>
        <w:t>U razdoblju 2023. – 2025. očekuje se ostvarenje ciljeva sukladno Razvojnoj i Istraživačkoj strategiji Sveučilišta.</w:t>
      </w:r>
    </w:p>
    <w:p w14:paraId="1F374752" w14:textId="77777777" w:rsidR="00786331" w:rsidRDefault="00786331">
      <w:pPr>
        <w:jc w:val="both"/>
        <w:rPr>
          <w:i/>
        </w:rPr>
      </w:pPr>
    </w:p>
    <w:p w14:paraId="1F374753" w14:textId="20A6B99D" w:rsidR="00786331" w:rsidRDefault="002B2CC0">
      <w:pPr>
        <w:jc w:val="both"/>
        <w:rPr>
          <w:i/>
        </w:rPr>
      </w:pPr>
      <w:r>
        <w:rPr>
          <w:i/>
        </w:rPr>
        <w:t>Plan rashoda redovne djelatnosti fakulteta evidencijskih prihoda (izvori 31, 43, 52, 61, 71 ) izračunat je prema proračunima ugovorenih znanstvenih projekta i procjeni gospodarskih aktivnosti.</w:t>
      </w:r>
      <w:r w:rsidR="001C43B0">
        <w:rPr>
          <w:i/>
        </w:rPr>
        <w:t xml:space="preserve"> U 2023. planirani su izdaci za otplatu glavnice kredita u iznosu od 1.061.782 eura.</w:t>
      </w:r>
    </w:p>
    <w:p w14:paraId="1F374754" w14:textId="77777777" w:rsidR="00786331" w:rsidRDefault="00786331">
      <w:pPr>
        <w:jc w:val="both"/>
        <w:rPr>
          <w:i/>
        </w:rPr>
      </w:pPr>
    </w:p>
    <w:p w14:paraId="1F374755" w14:textId="77777777" w:rsidR="00786331" w:rsidRDefault="00786331">
      <w:pPr>
        <w:jc w:val="both"/>
        <w:rPr>
          <w:i/>
        </w:rPr>
      </w:pPr>
    </w:p>
    <w:p w14:paraId="1F374756" w14:textId="77777777" w:rsidR="00786331" w:rsidRDefault="00786331">
      <w:pPr>
        <w:jc w:val="both"/>
        <w:rPr>
          <w:i/>
        </w:rPr>
      </w:pPr>
    </w:p>
    <w:p w14:paraId="1F374757" w14:textId="77777777" w:rsidR="00786331" w:rsidRDefault="002B2CC0">
      <w:pPr>
        <w:pBdr>
          <w:top w:val="dotted" w:sz="4" w:space="1" w:color="808080"/>
          <w:bottom w:val="dotted" w:sz="4" w:space="1" w:color="808080"/>
        </w:pBdr>
        <w:shd w:val="clear" w:color="auto" w:fill="D0CECE"/>
        <w:spacing w:after="160" w:line="259" w:lineRule="auto"/>
        <w:jc w:val="both"/>
        <w:rPr>
          <w:b/>
          <w:sz w:val="28"/>
          <w:szCs w:val="28"/>
        </w:rPr>
      </w:pPr>
      <w:r>
        <w:rPr>
          <w:b/>
          <w:sz w:val="28"/>
          <w:szCs w:val="28"/>
        </w:rPr>
        <w:t>K679084 OP KONKURENTNOST I KOHEZIJA 2014-2020.</w:t>
      </w:r>
    </w:p>
    <w:p w14:paraId="1F374758" w14:textId="77777777" w:rsidR="00786331" w:rsidRDefault="002B2CC0">
      <w:pPr>
        <w:jc w:val="both"/>
        <w:rPr>
          <w:i/>
        </w:rPr>
      </w:pPr>
      <w:r>
        <w:rPr>
          <w:i/>
        </w:rPr>
        <w:t>Zakonske i druge pravne osnove</w:t>
      </w:r>
    </w:p>
    <w:p w14:paraId="1F374759" w14:textId="77777777" w:rsidR="00786331" w:rsidRDefault="00786331">
      <w:pPr>
        <w:jc w:val="both"/>
        <w:rPr>
          <w:i/>
        </w:rPr>
      </w:pPr>
    </w:p>
    <w:p w14:paraId="1F37475A" w14:textId="77777777" w:rsidR="00786331" w:rsidRDefault="002B2CC0">
      <w:pPr>
        <w:numPr>
          <w:ilvl w:val="0"/>
          <w:numId w:val="2"/>
        </w:numPr>
        <w:pBdr>
          <w:top w:val="nil"/>
          <w:left w:val="nil"/>
          <w:bottom w:val="nil"/>
          <w:right w:val="nil"/>
          <w:between w:val="nil"/>
        </w:pBdr>
        <w:spacing w:line="276" w:lineRule="auto"/>
        <w:jc w:val="both"/>
      </w:pPr>
      <w:r>
        <w:t xml:space="preserve">Zakon o znanstvenoj djelatnosti i visokom obrazovanju </w:t>
      </w:r>
    </w:p>
    <w:p w14:paraId="1F37475B" w14:textId="77777777" w:rsidR="00786331" w:rsidRDefault="002B2CC0">
      <w:pPr>
        <w:numPr>
          <w:ilvl w:val="0"/>
          <w:numId w:val="2"/>
        </w:numPr>
        <w:pBdr>
          <w:top w:val="nil"/>
          <w:left w:val="nil"/>
          <w:bottom w:val="nil"/>
          <w:right w:val="nil"/>
          <w:between w:val="nil"/>
        </w:pBdr>
        <w:spacing w:line="276" w:lineRule="auto"/>
        <w:jc w:val="both"/>
      </w:pPr>
      <w:r>
        <w:t xml:space="preserve">Sporazum o partnerstvu između Republike Hrvatske i Europske komisije za korištenje Europskih strukturnih i investicijskih fondova za rast i radna mjesta u razdoblju 2014.-2020., (listopad 2014.) </w:t>
      </w:r>
    </w:p>
    <w:p w14:paraId="1F37475C" w14:textId="77777777" w:rsidR="00786331" w:rsidRDefault="002B2CC0">
      <w:pPr>
        <w:numPr>
          <w:ilvl w:val="0"/>
          <w:numId w:val="2"/>
        </w:numPr>
        <w:pBdr>
          <w:top w:val="nil"/>
          <w:left w:val="nil"/>
          <w:bottom w:val="nil"/>
          <w:right w:val="nil"/>
          <w:between w:val="nil"/>
        </w:pBdr>
        <w:spacing w:line="276" w:lineRule="auto"/>
        <w:jc w:val="both"/>
      </w:pPr>
      <w:r>
        <w:t xml:space="preserve">Operativni program „Konkurentnost i kohezija“ 2014͘-2020., (12. prosinac 2015.) </w:t>
      </w:r>
    </w:p>
    <w:p w14:paraId="1F37475D" w14:textId="77777777" w:rsidR="00786331" w:rsidRDefault="002B2CC0">
      <w:pPr>
        <w:numPr>
          <w:ilvl w:val="0"/>
          <w:numId w:val="2"/>
        </w:numPr>
        <w:pBdr>
          <w:top w:val="nil"/>
          <w:left w:val="nil"/>
          <w:bottom w:val="nil"/>
          <w:right w:val="nil"/>
          <w:between w:val="nil"/>
        </w:pBdr>
        <w:spacing w:line="276" w:lineRule="auto"/>
        <w:jc w:val="both"/>
      </w:pPr>
      <w:r>
        <w:t>Modernizacija, unaprjeđenje i proširenje infrastrukture studentskog smještaja za studente u nepovoljnom položaju/Operativni program «Konkurentnost i kohezija».</w:t>
      </w:r>
    </w:p>
    <w:p w14:paraId="1F37475E" w14:textId="77777777" w:rsidR="00786331" w:rsidRDefault="002B2CC0">
      <w:pPr>
        <w:numPr>
          <w:ilvl w:val="0"/>
          <w:numId w:val="2"/>
        </w:numPr>
        <w:pBdr>
          <w:top w:val="nil"/>
          <w:left w:val="nil"/>
          <w:bottom w:val="nil"/>
          <w:right w:val="nil"/>
          <w:between w:val="nil"/>
        </w:pBdr>
        <w:jc w:val="both"/>
      </w:pPr>
      <w:r>
        <w:t xml:space="preserve">Poziv za odabir područja za provedbu mehanizma integriranih teritorijalnih ulaganja (ITU mehanizam) Ministarstva regionalnog razvoja i EU fondova iz sedam prioritetnih osi u okviru  Operativnog programa «Konkurentnost i kohezija». </w:t>
      </w:r>
    </w:p>
    <w:p w14:paraId="1F37475F" w14:textId="77777777" w:rsidR="00786331" w:rsidRDefault="00786331">
      <w:pPr>
        <w:spacing w:after="160" w:line="259" w:lineRule="auto"/>
        <w:jc w:val="both"/>
        <w:rPr>
          <w:i/>
          <w:sz w:val="22"/>
          <w:szCs w:val="22"/>
        </w:rPr>
      </w:pPr>
    </w:p>
    <w:tbl>
      <w:tblPr>
        <w:tblStyle w:val="a4"/>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295"/>
        <w:gridCol w:w="2415"/>
        <w:gridCol w:w="2415"/>
      </w:tblGrid>
      <w:tr w:rsidR="00786331" w14:paraId="1F374765" w14:textId="77777777">
        <w:tc>
          <w:tcPr>
            <w:tcW w:w="2070" w:type="dxa"/>
            <w:shd w:val="clear" w:color="auto" w:fill="D0CECE"/>
          </w:tcPr>
          <w:p w14:paraId="1F374760" w14:textId="77777777" w:rsidR="00786331" w:rsidRDefault="00786331">
            <w:pPr>
              <w:jc w:val="both"/>
            </w:pPr>
          </w:p>
          <w:p w14:paraId="1F374761" w14:textId="77777777" w:rsidR="00786331" w:rsidRDefault="00786331">
            <w:pPr>
              <w:jc w:val="both"/>
            </w:pPr>
          </w:p>
        </w:tc>
        <w:tc>
          <w:tcPr>
            <w:tcW w:w="2295" w:type="dxa"/>
            <w:shd w:val="clear" w:color="auto" w:fill="D0CECE"/>
            <w:vAlign w:val="center"/>
          </w:tcPr>
          <w:p w14:paraId="1F374762" w14:textId="77777777" w:rsidR="00786331" w:rsidRDefault="002B2CC0">
            <w:pPr>
              <w:jc w:val="center"/>
            </w:pPr>
            <w:r>
              <w:t>Plan 2023.</w:t>
            </w:r>
          </w:p>
        </w:tc>
        <w:tc>
          <w:tcPr>
            <w:tcW w:w="2415" w:type="dxa"/>
            <w:shd w:val="clear" w:color="auto" w:fill="D0CECE"/>
            <w:vAlign w:val="center"/>
          </w:tcPr>
          <w:p w14:paraId="1F374763" w14:textId="77777777" w:rsidR="00786331" w:rsidRDefault="002B2CC0">
            <w:pPr>
              <w:jc w:val="center"/>
            </w:pPr>
            <w:r>
              <w:t>Plan 2024.</w:t>
            </w:r>
          </w:p>
        </w:tc>
        <w:tc>
          <w:tcPr>
            <w:tcW w:w="2415" w:type="dxa"/>
            <w:shd w:val="clear" w:color="auto" w:fill="D0CECE"/>
            <w:vAlign w:val="center"/>
          </w:tcPr>
          <w:p w14:paraId="1F374764" w14:textId="77777777" w:rsidR="00786331" w:rsidRDefault="002B2CC0">
            <w:pPr>
              <w:jc w:val="center"/>
            </w:pPr>
            <w:r>
              <w:t>Plan 2025.</w:t>
            </w:r>
          </w:p>
        </w:tc>
      </w:tr>
      <w:tr w:rsidR="00786331" w14:paraId="1F37476C" w14:textId="77777777">
        <w:tc>
          <w:tcPr>
            <w:tcW w:w="2070" w:type="dxa"/>
          </w:tcPr>
          <w:p w14:paraId="1F374766" w14:textId="77777777" w:rsidR="00786331" w:rsidRDefault="002B2CC0">
            <w:r>
              <w:rPr>
                <w:highlight w:val="white"/>
              </w:rPr>
              <w:t>Konkurentnost i kohezija, KK.01.1.1.04.0070</w:t>
            </w:r>
            <w:r>
              <w:t xml:space="preserve"> </w:t>
            </w:r>
          </w:p>
          <w:p w14:paraId="1F374767" w14:textId="77777777" w:rsidR="00786331" w:rsidRDefault="002B2CC0">
            <w:r>
              <w:t>Razvoj sustava za ispitivanje višefaznih strujanja i izgaranja s ciljem povećanja istraživačkih aktivnosti znanstvenog i poslovnog sektora - RESIN</w:t>
            </w:r>
          </w:p>
        </w:tc>
        <w:tc>
          <w:tcPr>
            <w:tcW w:w="2295" w:type="dxa"/>
          </w:tcPr>
          <w:p w14:paraId="1F374768" w14:textId="51248B97" w:rsidR="00786331" w:rsidRDefault="002B2CC0">
            <w:pPr>
              <w:jc w:val="both"/>
            </w:pPr>
            <w:r>
              <w:t xml:space="preserve">55.063 </w:t>
            </w:r>
          </w:p>
          <w:p w14:paraId="1F374769" w14:textId="77777777" w:rsidR="00786331" w:rsidRDefault="00786331">
            <w:pPr>
              <w:jc w:val="both"/>
              <w:rPr>
                <w:shd w:val="clear" w:color="auto" w:fill="C9DAF8"/>
              </w:rPr>
            </w:pPr>
          </w:p>
        </w:tc>
        <w:tc>
          <w:tcPr>
            <w:tcW w:w="2415" w:type="dxa"/>
          </w:tcPr>
          <w:p w14:paraId="1F37476A" w14:textId="77777777" w:rsidR="00786331" w:rsidRDefault="002B2CC0">
            <w:pPr>
              <w:jc w:val="both"/>
              <w:rPr>
                <w:highlight w:val="red"/>
              </w:rPr>
            </w:pPr>
            <w:r>
              <w:t>0</w:t>
            </w:r>
          </w:p>
        </w:tc>
        <w:tc>
          <w:tcPr>
            <w:tcW w:w="2415" w:type="dxa"/>
          </w:tcPr>
          <w:p w14:paraId="1F37476B" w14:textId="77777777" w:rsidR="00786331" w:rsidRDefault="002B2CC0">
            <w:pPr>
              <w:jc w:val="both"/>
            </w:pPr>
            <w:r>
              <w:t>0</w:t>
            </w:r>
          </w:p>
        </w:tc>
      </w:tr>
      <w:tr w:rsidR="00786331" w14:paraId="1F374773" w14:textId="77777777">
        <w:tc>
          <w:tcPr>
            <w:tcW w:w="2070" w:type="dxa"/>
          </w:tcPr>
          <w:p w14:paraId="1F37476D" w14:textId="77777777" w:rsidR="00786331" w:rsidRDefault="002B2CC0">
            <w:pPr>
              <w:rPr>
                <w:highlight w:val="white"/>
              </w:rPr>
            </w:pPr>
            <w:r>
              <w:rPr>
                <w:highlight w:val="white"/>
              </w:rPr>
              <w:t xml:space="preserve">Konkurentnost i kohezija, KK.01.1.1.04.0056 </w:t>
            </w:r>
          </w:p>
          <w:p w14:paraId="1F37476E" w14:textId="77777777" w:rsidR="00786331" w:rsidRDefault="002B2CC0">
            <w:r>
              <w:t>Zaštita cjelovitosti konstrukcija u energetici i  transportu - ZaCjel</w:t>
            </w:r>
          </w:p>
        </w:tc>
        <w:tc>
          <w:tcPr>
            <w:tcW w:w="2295" w:type="dxa"/>
          </w:tcPr>
          <w:p w14:paraId="1F374770" w14:textId="3D004E06" w:rsidR="00786331" w:rsidRDefault="002B2CC0" w:rsidP="00426C16">
            <w:pPr>
              <w:jc w:val="both"/>
              <w:rPr>
                <w:shd w:val="clear" w:color="auto" w:fill="C9DAF8"/>
              </w:rPr>
            </w:pPr>
            <w:r>
              <w:t>57.743</w:t>
            </w:r>
            <w:r w:rsidR="00426C16">
              <w:rPr>
                <w:shd w:val="clear" w:color="auto" w:fill="C9DAF8"/>
              </w:rPr>
              <w:t xml:space="preserve"> </w:t>
            </w:r>
          </w:p>
        </w:tc>
        <w:tc>
          <w:tcPr>
            <w:tcW w:w="2415" w:type="dxa"/>
          </w:tcPr>
          <w:p w14:paraId="1F374771" w14:textId="77777777" w:rsidR="00786331" w:rsidRDefault="002B2CC0">
            <w:pPr>
              <w:jc w:val="both"/>
            </w:pPr>
            <w:r>
              <w:t>0</w:t>
            </w:r>
          </w:p>
        </w:tc>
        <w:tc>
          <w:tcPr>
            <w:tcW w:w="2415" w:type="dxa"/>
          </w:tcPr>
          <w:p w14:paraId="1F374772" w14:textId="77777777" w:rsidR="00786331" w:rsidRDefault="002B2CC0">
            <w:pPr>
              <w:jc w:val="both"/>
            </w:pPr>
            <w:r>
              <w:t>0</w:t>
            </w:r>
          </w:p>
        </w:tc>
      </w:tr>
      <w:tr w:rsidR="00786331" w14:paraId="1F37477B" w14:textId="77777777">
        <w:tc>
          <w:tcPr>
            <w:tcW w:w="2070" w:type="dxa"/>
          </w:tcPr>
          <w:p w14:paraId="1F374774" w14:textId="77777777" w:rsidR="00786331" w:rsidRDefault="002B2CC0">
            <w:pPr>
              <w:rPr>
                <w:highlight w:val="white"/>
              </w:rPr>
            </w:pPr>
            <w:r>
              <w:rPr>
                <w:highlight w:val="white"/>
              </w:rPr>
              <w:t>NOVI PODPROJEKT</w:t>
            </w:r>
          </w:p>
          <w:p w14:paraId="1F374775" w14:textId="77777777" w:rsidR="00786331" w:rsidRDefault="002B2CC0">
            <w:pPr>
              <w:rPr>
                <w:highlight w:val="white"/>
              </w:rPr>
            </w:pPr>
            <w:r>
              <w:rPr>
                <w:highlight w:val="white"/>
              </w:rPr>
              <w:t>KK.01.1.1.07.0016</w:t>
            </w:r>
          </w:p>
          <w:p w14:paraId="1F374776" w14:textId="77777777" w:rsidR="00786331" w:rsidRDefault="002B2CC0">
            <w:pPr>
              <w:rPr>
                <w:highlight w:val="white"/>
              </w:rPr>
            </w:pPr>
            <w:r>
              <w:rPr>
                <w:highlight w:val="white"/>
              </w:rPr>
              <w:t xml:space="preserve">"Autonomni robotski sustav za brušenje i karakterizaciju površina tankostijenih </w:t>
            </w:r>
            <w:r>
              <w:rPr>
                <w:highlight w:val="white"/>
              </w:rPr>
              <w:lastRenderedPageBreak/>
              <w:t>kompozitnih proizvoda"</w:t>
            </w:r>
          </w:p>
          <w:p w14:paraId="1F374777" w14:textId="77777777" w:rsidR="00786331" w:rsidRDefault="002B2CC0">
            <w:pPr>
              <w:rPr>
                <w:highlight w:val="white"/>
              </w:rPr>
            </w:pPr>
            <w:r>
              <w:rPr>
                <w:highlight w:val="white"/>
              </w:rPr>
              <w:t xml:space="preserve">-ARCOPS </w:t>
            </w:r>
          </w:p>
        </w:tc>
        <w:tc>
          <w:tcPr>
            <w:tcW w:w="2295" w:type="dxa"/>
          </w:tcPr>
          <w:p w14:paraId="1F374778" w14:textId="4865A640" w:rsidR="00786331" w:rsidRDefault="002B2CC0" w:rsidP="00426C16">
            <w:pPr>
              <w:jc w:val="both"/>
            </w:pPr>
            <w:r>
              <w:lastRenderedPageBreak/>
              <w:t>521.521</w:t>
            </w:r>
          </w:p>
        </w:tc>
        <w:tc>
          <w:tcPr>
            <w:tcW w:w="2415" w:type="dxa"/>
          </w:tcPr>
          <w:p w14:paraId="1F374779" w14:textId="77777777" w:rsidR="00786331" w:rsidRDefault="002B2CC0">
            <w:pPr>
              <w:jc w:val="both"/>
            </w:pPr>
            <w:r>
              <w:t>0</w:t>
            </w:r>
          </w:p>
        </w:tc>
        <w:tc>
          <w:tcPr>
            <w:tcW w:w="2415" w:type="dxa"/>
          </w:tcPr>
          <w:p w14:paraId="1F37477A" w14:textId="77777777" w:rsidR="00786331" w:rsidRDefault="002B2CC0">
            <w:pPr>
              <w:jc w:val="both"/>
            </w:pPr>
            <w:r>
              <w:t>0</w:t>
            </w:r>
          </w:p>
        </w:tc>
      </w:tr>
      <w:tr w:rsidR="00786331" w14:paraId="1F374782" w14:textId="77777777">
        <w:trPr>
          <w:trHeight w:val="1892"/>
        </w:trPr>
        <w:tc>
          <w:tcPr>
            <w:tcW w:w="2070" w:type="dxa"/>
          </w:tcPr>
          <w:p w14:paraId="1F37477C" w14:textId="77777777" w:rsidR="00786331" w:rsidRDefault="002B2CC0">
            <w:pPr>
              <w:rPr>
                <w:highlight w:val="white"/>
              </w:rPr>
            </w:pPr>
            <w:r>
              <w:rPr>
                <w:highlight w:val="white"/>
              </w:rPr>
              <w:t>NOVI PODPROJEKT</w:t>
            </w:r>
          </w:p>
          <w:p w14:paraId="1F37477D" w14:textId="77777777" w:rsidR="00786331" w:rsidRDefault="002B2CC0">
            <w:pPr>
              <w:rPr>
                <w:highlight w:val="white"/>
              </w:rPr>
            </w:pPr>
            <w:r>
              <w:rPr>
                <w:highlight w:val="white"/>
              </w:rPr>
              <w:t>KK.01.1.1.07.0013</w:t>
            </w:r>
          </w:p>
          <w:p w14:paraId="1F37477E" w14:textId="77777777" w:rsidR="00786331" w:rsidRDefault="002B2CC0">
            <w:pPr>
              <w:rPr>
                <w:highlight w:val="white"/>
              </w:rPr>
            </w:pPr>
            <w:r>
              <w:rPr>
                <w:highlight w:val="white"/>
              </w:rPr>
              <w:t>Inovativni Ti-Mg dentalni implantati za svjetsko tržište - IDENTIST</w:t>
            </w:r>
          </w:p>
        </w:tc>
        <w:tc>
          <w:tcPr>
            <w:tcW w:w="2295" w:type="dxa"/>
          </w:tcPr>
          <w:p w14:paraId="1F37477F" w14:textId="03BF6E04" w:rsidR="00786331" w:rsidRDefault="002B2CC0" w:rsidP="00426C16">
            <w:pPr>
              <w:jc w:val="both"/>
            </w:pPr>
            <w:r>
              <w:t>741.955</w:t>
            </w:r>
          </w:p>
        </w:tc>
        <w:tc>
          <w:tcPr>
            <w:tcW w:w="2415" w:type="dxa"/>
          </w:tcPr>
          <w:p w14:paraId="1F374780" w14:textId="77777777" w:rsidR="00786331" w:rsidRDefault="002B2CC0">
            <w:pPr>
              <w:jc w:val="both"/>
            </w:pPr>
            <w:r>
              <w:t>0</w:t>
            </w:r>
          </w:p>
        </w:tc>
        <w:tc>
          <w:tcPr>
            <w:tcW w:w="2415" w:type="dxa"/>
          </w:tcPr>
          <w:p w14:paraId="1F374781" w14:textId="77777777" w:rsidR="00786331" w:rsidRDefault="002B2CC0">
            <w:pPr>
              <w:jc w:val="both"/>
            </w:pPr>
            <w:r>
              <w:t>0</w:t>
            </w:r>
          </w:p>
        </w:tc>
      </w:tr>
      <w:tr w:rsidR="00786331" w14:paraId="1F374789" w14:textId="77777777">
        <w:tc>
          <w:tcPr>
            <w:tcW w:w="2070" w:type="dxa"/>
          </w:tcPr>
          <w:p w14:paraId="1F374783" w14:textId="77777777" w:rsidR="00786331" w:rsidRDefault="002B2CC0">
            <w:pPr>
              <w:rPr>
                <w:highlight w:val="white"/>
              </w:rPr>
            </w:pPr>
            <w:r>
              <w:rPr>
                <w:highlight w:val="white"/>
              </w:rPr>
              <w:t>NOVI PODPROJEKT</w:t>
            </w:r>
          </w:p>
          <w:p w14:paraId="1F374784" w14:textId="77777777" w:rsidR="00786331" w:rsidRDefault="002B2CC0">
            <w:pPr>
              <w:rPr>
                <w:highlight w:val="white"/>
              </w:rPr>
            </w:pPr>
            <w:r>
              <w:rPr>
                <w:highlight w:val="white"/>
              </w:rPr>
              <w:t>KK.01.1.1.07.0076</w:t>
            </w:r>
          </w:p>
          <w:p w14:paraId="1F374785" w14:textId="77777777" w:rsidR="00786331" w:rsidRDefault="002B2CC0">
            <w:pPr>
              <w:rPr>
                <w:highlight w:val="white"/>
              </w:rPr>
            </w:pPr>
            <w:r>
              <w:rPr>
                <w:highlight w:val="white"/>
              </w:rPr>
              <w:t>Unaprjeđenje tehnologije visokoučinskog zavarivanja - ImproWE</w:t>
            </w:r>
          </w:p>
        </w:tc>
        <w:tc>
          <w:tcPr>
            <w:tcW w:w="2295" w:type="dxa"/>
          </w:tcPr>
          <w:p w14:paraId="1F374786" w14:textId="61EC3AD6" w:rsidR="00786331" w:rsidRDefault="002B2CC0" w:rsidP="00426C16">
            <w:pPr>
              <w:jc w:val="both"/>
            </w:pPr>
            <w:r>
              <w:t>83.569</w:t>
            </w:r>
          </w:p>
        </w:tc>
        <w:tc>
          <w:tcPr>
            <w:tcW w:w="2415" w:type="dxa"/>
          </w:tcPr>
          <w:p w14:paraId="1F374787" w14:textId="77777777" w:rsidR="00786331" w:rsidRDefault="002B2CC0">
            <w:pPr>
              <w:jc w:val="both"/>
            </w:pPr>
            <w:r>
              <w:t>0</w:t>
            </w:r>
          </w:p>
        </w:tc>
        <w:tc>
          <w:tcPr>
            <w:tcW w:w="2415" w:type="dxa"/>
          </w:tcPr>
          <w:p w14:paraId="1F374788" w14:textId="77777777" w:rsidR="00786331" w:rsidRDefault="002B2CC0">
            <w:pPr>
              <w:jc w:val="both"/>
            </w:pPr>
            <w:r>
              <w:t>0</w:t>
            </w:r>
          </w:p>
        </w:tc>
      </w:tr>
      <w:tr w:rsidR="00786331" w14:paraId="1F374790" w14:textId="77777777">
        <w:tc>
          <w:tcPr>
            <w:tcW w:w="2070" w:type="dxa"/>
          </w:tcPr>
          <w:p w14:paraId="1F37478A" w14:textId="77777777" w:rsidR="00786331" w:rsidRDefault="002B2CC0">
            <w:pPr>
              <w:rPr>
                <w:highlight w:val="white"/>
              </w:rPr>
            </w:pPr>
            <w:r>
              <w:rPr>
                <w:highlight w:val="white"/>
              </w:rPr>
              <w:t>NOVI PODPROJEKT</w:t>
            </w:r>
          </w:p>
          <w:p w14:paraId="1F37478B" w14:textId="77777777" w:rsidR="00786331" w:rsidRDefault="002B2CC0">
            <w:pPr>
              <w:rPr>
                <w:highlight w:val="white"/>
              </w:rPr>
            </w:pPr>
            <w:r>
              <w:rPr>
                <w:highlight w:val="white"/>
              </w:rPr>
              <w:t>KK.01.1.1.07.0031</w:t>
            </w:r>
          </w:p>
          <w:p w14:paraId="1F37478C" w14:textId="77777777" w:rsidR="00786331" w:rsidRDefault="002B2CC0">
            <w:pPr>
              <w:rPr>
                <w:highlight w:val="white"/>
              </w:rPr>
            </w:pPr>
            <w:r>
              <w:rPr>
                <w:highlight w:val="white"/>
              </w:rPr>
              <w:t>Prognozirano održavanje industrijske rotacijske opreme temeljno na strojnom učenju i IoT tehnologiji u interakciji s informacijskim sustavima - POIROT-IoT</w:t>
            </w:r>
          </w:p>
        </w:tc>
        <w:tc>
          <w:tcPr>
            <w:tcW w:w="2295" w:type="dxa"/>
          </w:tcPr>
          <w:p w14:paraId="1F37478D" w14:textId="3E9A041A" w:rsidR="00786331" w:rsidRDefault="002B2CC0" w:rsidP="00426C16">
            <w:pPr>
              <w:jc w:val="both"/>
            </w:pPr>
            <w:r>
              <w:t>275.789</w:t>
            </w:r>
          </w:p>
        </w:tc>
        <w:tc>
          <w:tcPr>
            <w:tcW w:w="2415" w:type="dxa"/>
          </w:tcPr>
          <w:p w14:paraId="1F37478E" w14:textId="77777777" w:rsidR="00786331" w:rsidRDefault="002B2CC0">
            <w:pPr>
              <w:jc w:val="both"/>
            </w:pPr>
            <w:r>
              <w:t>0</w:t>
            </w:r>
          </w:p>
        </w:tc>
        <w:tc>
          <w:tcPr>
            <w:tcW w:w="2415" w:type="dxa"/>
          </w:tcPr>
          <w:p w14:paraId="1F37478F" w14:textId="77777777" w:rsidR="00786331" w:rsidRDefault="002B2CC0">
            <w:pPr>
              <w:jc w:val="both"/>
            </w:pPr>
            <w:r>
              <w:t>0</w:t>
            </w:r>
          </w:p>
        </w:tc>
      </w:tr>
      <w:tr w:rsidR="00786331" w14:paraId="1F374797" w14:textId="77777777">
        <w:tc>
          <w:tcPr>
            <w:tcW w:w="2070" w:type="dxa"/>
          </w:tcPr>
          <w:p w14:paraId="1F374791" w14:textId="77777777" w:rsidR="00786331" w:rsidRDefault="002B2CC0">
            <w:pPr>
              <w:rPr>
                <w:highlight w:val="white"/>
              </w:rPr>
            </w:pPr>
            <w:r>
              <w:rPr>
                <w:highlight w:val="white"/>
              </w:rPr>
              <w:t>NOVI PODPROJEKT</w:t>
            </w:r>
          </w:p>
          <w:p w14:paraId="1F374792" w14:textId="77777777" w:rsidR="00786331" w:rsidRDefault="002B2CC0">
            <w:pPr>
              <w:rPr>
                <w:highlight w:val="white"/>
              </w:rPr>
            </w:pPr>
            <w:r>
              <w:rPr>
                <w:highlight w:val="white"/>
              </w:rPr>
              <w:t>KK.01.1.1.07.0045</w:t>
            </w:r>
          </w:p>
          <w:p w14:paraId="1F374793" w14:textId="77777777" w:rsidR="00786331" w:rsidRDefault="002B2CC0">
            <w:pPr>
              <w:rPr>
                <w:highlight w:val="white"/>
              </w:rPr>
            </w:pPr>
            <w:r>
              <w:rPr>
                <w:highlight w:val="white"/>
              </w:rPr>
              <w:t>Razvoj sustava antikorozivne zaštite za višenamjensku uporabu cijevi - RSAZ</w:t>
            </w:r>
          </w:p>
        </w:tc>
        <w:tc>
          <w:tcPr>
            <w:tcW w:w="2295" w:type="dxa"/>
          </w:tcPr>
          <w:p w14:paraId="1F374794" w14:textId="359C238D" w:rsidR="00786331" w:rsidRDefault="002B2CC0" w:rsidP="00426C16">
            <w:pPr>
              <w:jc w:val="both"/>
            </w:pPr>
            <w:r>
              <w:t>131.496</w:t>
            </w:r>
          </w:p>
        </w:tc>
        <w:tc>
          <w:tcPr>
            <w:tcW w:w="2415" w:type="dxa"/>
          </w:tcPr>
          <w:p w14:paraId="1F374795" w14:textId="77777777" w:rsidR="00786331" w:rsidRDefault="002B2CC0">
            <w:pPr>
              <w:jc w:val="both"/>
            </w:pPr>
            <w:r>
              <w:t>0</w:t>
            </w:r>
          </w:p>
        </w:tc>
        <w:tc>
          <w:tcPr>
            <w:tcW w:w="2415" w:type="dxa"/>
          </w:tcPr>
          <w:p w14:paraId="1F374796" w14:textId="77777777" w:rsidR="00786331" w:rsidRDefault="002B2CC0">
            <w:pPr>
              <w:jc w:val="both"/>
            </w:pPr>
            <w:r>
              <w:t>0</w:t>
            </w:r>
          </w:p>
        </w:tc>
      </w:tr>
      <w:tr w:rsidR="00786331" w14:paraId="1F3747A7" w14:textId="77777777">
        <w:tc>
          <w:tcPr>
            <w:tcW w:w="2070" w:type="dxa"/>
          </w:tcPr>
          <w:p w14:paraId="1F374798" w14:textId="77777777" w:rsidR="00786331" w:rsidRDefault="002B2CC0">
            <w:pPr>
              <w:rPr>
                <w:highlight w:val="white"/>
              </w:rPr>
            </w:pPr>
            <w:r>
              <w:rPr>
                <w:highlight w:val="white"/>
              </w:rPr>
              <w:t>NOVI PODPROJEKT</w:t>
            </w:r>
          </w:p>
          <w:p w14:paraId="1F374799" w14:textId="77777777" w:rsidR="00786331" w:rsidRDefault="002B2CC0">
            <w:pPr>
              <w:rPr>
                <w:highlight w:val="white"/>
              </w:rPr>
            </w:pPr>
            <w:r>
              <w:rPr>
                <w:highlight w:val="white"/>
              </w:rPr>
              <w:t>KK.01.1.1.07.0052</w:t>
            </w:r>
          </w:p>
          <w:p w14:paraId="1F37479A" w14:textId="77777777" w:rsidR="00786331" w:rsidRDefault="002B2CC0">
            <w:pPr>
              <w:rPr>
                <w:highlight w:val="white"/>
              </w:rPr>
            </w:pPr>
            <w:r>
              <w:rPr>
                <w:highlight w:val="white"/>
              </w:rPr>
              <w:t xml:space="preserve">"Razvoj modularnog ekspertnog sustava za upravljanje diskretnim proizvodnim </w:t>
            </w:r>
            <w:r>
              <w:rPr>
                <w:highlight w:val="white"/>
              </w:rPr>
              <w:lastRenderedPageBreak/>
              <w:t>procesima temeljenog na primjeni SMART FACTORY načela"</w:t>
            </w:r>
          </w:p>
        </w:tc>
        <w:tc>
          <w:tcPr>
            <w:tcW w:w="2295" w:type="dxa"/>
          </w:tcPr>
          <w:p w14:paraId="1F37479B" w14:textId="77777777" w:rsidR="00786331" w:rsidRDefault="00786331">
            <w:pPr>
              <w:jc w:val="both"/>
            </w:pPr>
          </w:p>
          <w:p w14:paraId="1F37479C" w14:textId="77777777" w:rsidR="00786331" w:rsidRDefault="00786331">
            <w:pPr>
              <w:jc w:val="both"/>
            </w:pPr>
          </w:p>
          <w:p w14:paraId="1F37479D" w14:textId="77777777" w:rsidR="00786331" w:rsidRDefault="00786331">
            <w:pPr>
              <w:jc w:val="both"/>
            </w:pPr>
          </w:p>
          <w:p w14:paraId="1F37479E" w14:textId="7A09D926" w:rsidR="00786331" w:rsidRDefault="002B2CC0" w:rsidP="00426C16">
            <w:pPr>
              <w:jc w:val="both"/>
            </w:pPr>
            <w:r>
              <w:t>42.000</w:t>
            </w:r>
          </w:p>
        </w:tc>
        <w:tc>
          <w:tcPr>
            <w:tcW w:w="2415" w:type="dxa"/>
          </w:tcPr>
          <w:p w14:paraId="1F37479F" w14:textId="77777777" w:rsidR="00786331" w:rsidRDefault="00786331">
            <w:pPr>
              <w:jc w:val="both"/>
            </w:pPr>
          </w:p>
          <w:p w14:paraId="1F3747A0" w14:textId="77777777" w:rsidR="00786331" w:rsidRDefault="00786331">
            <w:pPr>
              <w:jc w:val="both"/>
            </w:pPr>
          </w:p>
          <w:p w14:paraId="1F3747A1" w14:textId="77777777" w:rsidR="00786331" w:rsidRDefault="00786331">
            <w:pPr>
              <w:jc w:val="both"/>
            </w:pPr>
          </w:p>
          <w:p w14:paraId="1F3747A2" w14:textId="77777777" w:rsidR="00786331" w:rsidRDefault="002B2CC0">
            <w:pPr>
              <w:jc w:val="both"/>
            </w:pPr>
            <w:r>
              <w:t>0</w:t>
            </w:r>
          </w:p>
        </w:tc>
        <w:tc>
          <w:tcPr>
            <w:tcW w:w="2415" w:type="dxa"/>
          </w:tcPr>
          <w:p w14:paraId="1F3747A3" w14:textId="77777777" w:rsidR="00786331" w:rsidRDefault="00786331">
            <w:pPr>
              <w:jc w:val="both"/>
            </w:pPr>
          </w:p>
          <w:p w14:paraId="1F3747A4" w14:textId="77777777" w:rsidR="00786331" w:rsidRDefault="00786331">
            <w:pPr>
              <w:jc w:val="both"/>
            </w:pPr>
          </w:p>
          <w:p w14:paraId="1F3747A5" w14:textId="77777777" w:rsidR="00786331" w:rsidRDefault="00786331">
            <w:pPr>
              <w:jc w:val="both"/>
            </w:pPr>
          </w:p>
          <w:p w14:paraId="1F3747A6" w14:textId="77777777" w:rsidR="00786331" w:rsidRDefault="002B2CC0">
            <w:pPr>
              <w:jc w:val="both"/>
            </w:pPr>
            <w:r>
              <w:t>0</w:t>
            </w:r>
          </w:p>
        </w:tc>
      </w:tr>
      <w:tr w:rsidR="00786331" w14:paraId="1F3747AF" w14:textId="77777777">
        <w:tc>
          <w:tcPr>
            <w:tcW w:w="2070" w:type="dxa"/>
          </w:tcPr>
          <w:p w14:paraId="1F3747A8" w14:textId="77777777" w:rsidR="00786331" w:rsidRDefault="002B2CC0">
            <w:pPr>
              <w:rPr>
                <w:highlight w:val="white"/>
              </w:rPr>
            </w:pPr>
            <w:r>
              <w:rPr>
                <w:highlight w:val="white"/>
              </w:rPr>
              <w:t>NOVI PODPROJEKT</w:t>
            </w:r>
          </w:p>
          <w:p w14:paraId="1F3747A9" w14:textId="77777777" w:rsidR="00786331" w:rsidRDefault="002B2CC0">
            <w:pPr>
              <w:rPr>
                <w:highlight w:val="white"/>
              </w:rPr>
            </w:pPr>
            <w:r>
              <w:rPr>
                <w:highlight w:val="white"/>
              </w:rPr>
              <w:t>KK.01.1.1.09.0039</w:t>
            </w:r>
          </w:p>
          <w:p w14:paraId="1F3747AA" w14:textId="77777777" w:rsidR="00786331" w:rsidRDefault="002B2CC0">
            <w:pPr>
              <w:rPr>
                <w:highlight w:val="white"/>
              </w:rPr>
            </w:pPr>
            <w:r>
              <w:rPr>
                <w:highlight w:val="white"/>
              </w:rPr>
              <w:t>Laboratorij za emisije i energetsku učinkovitost vozila</w:t>
            </w:r>
          </w:p>
        </w:tc>
        <w:tc>
          <w:tcPr>
            <w:tcW w:w="2295" w:type="dxa"/>
          </w:tcPr>
          <w:p w14:paraId="1F3747AC" w14:textId="0774F0D9" w:rsidR="00786331" w:rsidRDefault="002B2CC0" w:rsidP="008C2696">
            <w:pPr>
              <w:jc w:val="both"/>
            </w:pPr>
            <w:r>
              <w:t>228.947</w:t>
            </w:r>
          </w:p>
        </w:tc>
        <w:tc>
          <w:tcPr>
            <w:tcW w:w="2415" w:type="dxa"/>
          </w:tcPr>
          <w:p w14:paraId="1F3747AD" w14:textId="77777777" w:rsidR="00786331" w:rsidRDefault="002B2CC0">
            <w:pPr>
              <w:jc w:val="both"/>
            </w:pPr>
            <w:r>
              <w:t>0</w:t>
            </w:r>
          </w:p>
        </w:tc>
        <w:tc>
          <w:tcPr>
            <w:tcW w:w="2415" w:type="dxa"/>
          </w:tcPr>
          <w:p w14:paraId="1F3747AE" w14:textId="77777777" w:rsidR="00786331" w:rsidRDefault="002B2CC0">
            <w:pPr>
              <w:jc w:val="both"/>
            </w:pPr>
            <w:r>
              <w:t>0</w:t>
            </w:r>
          </w:p>
        </w:tc>
      </w:tr>
      <w:tr w:rsidR="00786331" w14:paraId="1F3747B7" w14:textId="77777777">
        <w:tc>
          <w:tcPr>
            <w:tcW w:w="2070" w:type="dxa"/>
          </w:tcPr>
          <w:p w14:paraId="1F3747B0" w14:textId="77777777" w:rsidR="00786331" w:rsidRDefault="002B2CC0">
            <w:pPr>
              <w:rPr>
                <w:highlight w:val="white"/>
              </w:rPr>
            </w:pPr>
            <w:r>
              <w:rPr>
                <w:highlight w:val="white"/>
              </w:rPr>
              <w:t>NOVI PODPROJEKT</w:t>
            </w:r>
          </w:p>
          <w:p w14:paraId="1F3747B1" w14:textId="77777777" w:rsidR="00786331" w:rsidRDefault="002B2CC0">
            <w:pPr>
              <w:rPr>
                <w:highlight w:val="white"/>
              </w:rPr>
            </w:pPr>
            <w:r>
              <w:rPr>
                <w:highlight w:val="white"/>
              </w:rPr>
              <w:t>KK.01.1.1.09.0028</w:t>
            </w:r>
          </w:p>
          <w:p w14:paraId="1F3747B2" w14:textId="77777777" w:rsidR="00786331" w:rsidRDefault="002B2CC0">
            <w:pPr>
              <w:rPr>
                <w:highlight w:val="white"/>
              </w:rPr>
            </w:pPr>
            <w:r>
              <w:rPr>
                <w:highlight w:val="white"/>
              </w:rPr>
              <w:t>Infrastrukturno jačanje IRI kapaciteta u području energetike i transporta</w:t>
            </w:r>
          </w:p>
        </w:tc>
        <w:tc>
          <w:tcPr>
            <w:tcW w:w="2295" w:type="dxa"/>
          </w:tcPr>
          <w:p w14:paraId="1F3747B4" w14:textId="12FBD630" w:rsidR="00786331" w:rsidRDefault="002B2CC0" w:rsidP="008C2696">
            <w:pPr>
              <w:jc w:val="both"/>
            </w:pPr>
            <w:r>
              <w:t>398.448</w:t>
            </w:r>
            <w:r w:rsidR="008C2696">
              <w:t xml:space="preserve"> </w:t>
            </w:r>
          </w:p>
        </w:tc>
        <w:tc>
          <w:tcPr>
            <w:tcW w:w="2415" w:type="dxa"/>
          </w:tcPr>
          <w:p w14:paraId="1F3747B5" w14:textId="77777777" w:rsidR="00786331" w:rsidRDefault="002B2CC0">
            <w:pPr>
              <w:jc w:val="both"/>
            </w:pPr>
            <w:r>
              <w:t>0</w:t>
            </w:r>
          </w:p>
        </w:tc>
        <w:tc>
          <w:tcPr>
            <w:tcW w:w="2415" w:type="dxa"/>
          </w:tcPr>
          <w:p w14:paraId="1F3747B6" w14:textId="77777777" w:rsidR="00786331" w:rsidRDefault="002B2CC0">
            <w:pPr>
              <w:jc w:val="both"/>
            </w:pPr>
            <w:r>
              <w:t>0</w:t>
            </w:r>
          </w:p>
        </w:tc>
      </w:tr>
      <w:tr w:rsidR="00786331" w14:paraId="1F3747BD" w14:textId="77777777">
        <w:tc>
          <w:tcPr>
            <w:tcW w:w="2070" w:type="dxa"/>
          </w:tcPr>
          <w:p w14:paraId="1F3747B8" w14:textId="77777777" w:rsidR="00786331" w:rsidRDefault="002B2CC0">
            <w:pPr>
              <w:rPr>
                <w:highlight w:val="white"/>
              </w:rPr>
            </w:pPr>
            <w:r>
              <w:rPr>
                <w:highlight w:val="white"/>
              </w:rPr>
              <w:t>A679078.235</w:t>
            </w:r>
          </w:p>
          <w:p w14:paraId="1F3747B9" w14:textId="77777777" w:rsidR="00786331" w:rsidRDefault="002B2CC0">
            <w:pPr>
              <w:rPr>
                <w:highlight w:val="white"/>
              </w:rPr>
            </w:pPr>
            <w:r>
              <w:rPr>
                <w:highlight w:val="white"/>
              </w:rPr>
              <w:t>„Sector adaptive virtual early warning system for marine pollution – SEAVIEWS“</w:t>
            </w:r>
          </w:p>
        </w:tc>
        <w:tc>
          <w:tcPr>
            <w:tcW w:w="2295" w:type="dxa"/>
          </w:tcPr>
          <w:p w14:paraId="1F3747BA" w14:textId="332BE0F5" w:rsidR="00786331" w:rsidRDefault="002B2CC0" w:rsidP="00426C16">
            <w:pPr>
              <w:jc w:val="both"/>
            </w:pPr>
            <w:r>
              <w:t>78.700</w:t>
            </w:r>
          </w:p>
        </w:tc>
        <w:tc>
          <w:tcPr>
            <w:tcW w:w="2415" w:type="dxa"/>
          </w:tcPr>
          <w:p w14:paraId="1F3747BB" w14:textId="77777777" w:rsidR="00786331" w:rsidRDefault="002B2CC0">
            <w:pPr>
              <w:jc w:val="both"/>
            </w:pPr>
            <w:r>
              <w:t>0</w:t>
            </w:r>
          </w:p>
        </w:tc>
        <w:tc>
          <w:tcPr>
            <w:tcW w:w="2415" w:type="dxa"/>
          </w:tcPr>
          <w:p w14:paraId="1F3747BC" w14:textId="77777777" w:rsidR="00786331" w:rsidRDefault="002B2CC0">
            <w:pPr>
              <w:jc w:val="both"/>
            </w:pPr>
            <w:r>
              <w:t>0</w:t>
            </w:r>
          </w:p>
        </w:tc>
      </w:tr>
      <w:tr w:rsidR="00786331" w14:paraId="1F3747C4" w14:textId="77777777">
        <w:tc>
          <w:tcPr>
            <w:tcW w:w="2070" w:type="dxa"/>
          </w:tcPr>
          <w:p w14:paraId="1F3747BE" w14:textId="77777777" w:rsidR="00786331" w:rsidRDefault="002B2CC0">
            <w:pPr>
              <w:rPr>
                <w:highlight w:val="white"/>
              </w:rPr>
            </w:pPr>
            <w:r>
              <w:rPr>
                <w:highlight w:val="white"/>
              </w:rPr>
              <w:t>A679078.238</w:t>
            </w:r>
          </w:p>
          <w:p w14:paraId="1F3747BF" w14:textId="77777777" w:rsidR="00786331" w:rsidRDefault="002B2CC0">
            <w:pPr>
              <w:rPr>
                <w:highlight w:val="white"/>
              </w:rPr>
            </w:pPr>
            <w:r>
              <w:rPr>
                <w:highlight w:val="white"/>
              </w:rPr>
              <w:t>NRLE - Nacionalni referentni laboratorij za emisije iz motora s unutarnjim izgaranjem za necestovne pokretne strojeve</w:t>
            </w:r>
          </w:p>
          <w:p w14:paraId="1F3747C0" w14:textId="77777777" w:rsidR="00786331" w:rsidRDefault="00786331">
            <w:pPr>
              <w:rPr>
                <w:highlight w:val="white"/>
              </w:rPr>
            </w:pPr>
          </w:p>
        </w:tc>
        <w:tc>
          <w:tcPr>
            <w:tcW w:w="2295" w:type="dxa"/>
          </w:tcPr>
          <w:p w14:paraId="1F3747C1" w14:textId="59DCAF79" w:rsidR="00786331" w:rsidRDefault="008C2696" w:rsidP="00426C16">
            <w:pPr>
              <w:jc w:val="both"/>
            </w:pPr>
            <w:r>
              <w:t>4.136.593</w:t>
            </w:r>
          </w:p>
        </w:tc>
        <w:tc>
          <w:tcPr>
            <w:tcW w:w="2415" w:type="dxa"/>
          </w:tcPr>
          <w:p w14:paraId="1F3747C2" w14:textId="1F7C87DD" w:rsidR="00786331" w:rsidRDefault="008C2696">
            <w:pPr>
              <w:jc w:val="both"/>
            </w:pPr>
            <w:r>
              <w:t>1.327.229</w:t>
            </w:r>
          </w:p>
        </w:tc>
        <w:tc>
          <w:tcPr>
            <w:tcW w:w="2415" w:type="dxa"/>
          </w:tcPr>
          <w:p w14:paraId="1F3747C3" w14:textId="77777777" w:rsidR="00786331" w:rsidRDefault="002B2CC0">
            <w:pPr>
              <w:jc w:val="both"/>
            </w:pPr>
            <w:r>
              <w:t>0</w:t>
            </w:r>
          </w:p>
        </w:tc>
      </w:tr>
    </w:tbl>
    <w:p w14:paraId="1F3747C5" w14:textId="77777777" w:rsidR="00786331" w:rsidRDefault="00786331">
      <w:pPr>
        <w:jc w:val="both"/>
      </w:pPr>
    </w:p>
    <w:p w14:paraId="1F3747C6" w14:textId="77777777" w:rsidR="00786331" w:rsidRDefault="00786331">
      <w:pPr>
        <w:jc w:val="both"/>
      </w:pPr>
    </w:p>
    <w:p w14:paraId="1F3747C7" w14:textId="77777777" w:rsidR="00786331" w:rsidRDefault="002B2CC0">
      <w:pPr>
        <w:pBdr>
          <w:top w:val="dotted" w:sz="4" w:space="1" w:color="808080"/>
          <w:bottom w:val="dotted" w:sz="4" w:space="1" w:color="808080"/>
        </w:pBdr>
        <w:shd w:val="clear" w:color="auto" w:fill="D0CECE"/>
        <w:jc w:val="both"/>
        <w:rPr>
          <w:b/>
          <w:sz w:val="28"/>
          <w:szCs w:val="28"/>
        </w:rPr>
      </w:pPr>
      <w:r>
        <w:rPr>
          <w:b/>
          <w:sz w:val="28"/>
          <w:szCs w:val="28"/>
        </w:rPr>
        <w:t>K679116 OBNOVA INFRASTRUKTURE I OPREME U PODRUČJU OBRAZOVANJA OŠTEĆENE POTRESOM</w:t>
      </w:r>
    </w:p>
    <w:tbl>
      <w:tblPr>
        <w:tblStyle w:val="a5"/>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89"/>
        <w:gridCol w:w="1559"/>
        <w:gridCol w:w="1421"/>
        <w:gridCol w:w="1068"/>
        <w:gridCol w:w="772"/>
        <w:gridCol w:w="996"/>
      </w:tblGrid>
      <w:tr w:rsidR="00786331" w14:paraId="1F3747D0" w14:textId="77777777">
        <w:trPr>
          <w:trHeight w:val="667"/>
        </w:trPr>
        <w:tc>
          <w:tcPr>
            <w:tcW w:w="2263" w:type="dxa"/>
            <w:shd w:val="clear" w:color="auto" w:fill="D0CECE"/>
          </w:tcPr>
          <w:p w14:paraId="1F3747C8" w14:textId="77777777" w:rsidR="00786331" w:rsidRDefault="00786331">
            <w:pPr>
              <w:jc w:val="both"/>
            </w:pPr>
          </w:p>
          <w:p w14:paraId="1F3747C9" w14:textId="77777777" w:rsidR="00786331" w:rsidRDefault="00786331">
            <w:pPr>
              <w:jc w:val="both"/>
            </w:pPr>
          </w:p>
        </w:tc>
        <w:tc>
          <w:tcPr>
            <w:tcW w:w="989" w:type="dxa"/>
            <w:shd w:val="clear" w:color="auto" w:fill="D0CECE"/>
            <w:vAlign w:val="center"/>
          </w:tcPr>
          <w:p w14:paraId="1F3747CA" w14:textId="77777777" w:rsidR="00786331" w:rsidRDefault="00786331">
            <w:pPr>
              <w:jc w:val="center"/>
            </w:pPr>
          </w:p>
        </w:tc>
        <w:tc>
          <w:tcPr>
            <w:tcW w:w="1559" w:type="dxa"/>
            <w:shd w:val="clear" w:color="auto" w:fill="D0CECE"/>
            <w:vAlign w:val="center"/>
          </w:tcPr>
          <w:p w14:paraId="1F3747CB" w14:textId="77777777" w:rsidR="00786331" w:rsidRDefault="00786331">
            <w:pPr>
              <w:jc w:val="center"/>
            </w:pPr>
          </w:p>
        </w:tc>
        <w:tc>
          <w:tcPr>
            <w:tcW w:w="1421" w:type="dxa"/>
            <w:shd w:val="clear" w:color="auto" w:fill="D0CECE"/>
            <w:vAlign w:val="center"/>
          </w:tcPr>
          <w:p w14:paraId="1F3747CC" w14:textId="77777777" w:rsidR="00786331" w:rsidRDefault="002B2CC0">
            <w:pPr>
              <w:jc w:val="center"/>
            </w:pPr>
            <w:r>
              <w:t>Plan 2023.</w:t>
            </w:r>
          </w:p>
        </w:tc>
        <w:tc>
          <w:tcPr>
            <w:tcW w:w="1068" w:type="dxa"/>
            <w:shd w:val="clear" w:color="auto" w:fill="D0CECE"/>
            <w:vAlign w:val="center"/>
          </w:tcPr>
          <w:p w14:paraId="1F3747CD" w14:textId="77777777" w:rsidR="00786331" w:rsidRDefault="002B2CC0">
            <w:pPr>
              <w:jc w:val="center"/>
            </w:pPr>
            <w:r>
              <w:t>Plan 2024.</w:t>
            </w:r>
          </w:p>
        </w:tc>
        <w:tc>
          <w:tcPr>
            <w:tcW w:w="772" w:type="dxa"/>
            <w:shd w:val="clear" w:color="auto" w:fill="D0CECE"/>
            <w:vAlign w:val="center"/>
          </w:tcPr>
          <w:p w14:paraId="1F3747CE" w14:textId="77777777" w:rsidR="00786331" w:rsidRDefault="002B2CC0">
            <w:pPr>
              <w:jc w:val="center"/>
            </w:pPr>
            <w:r>
              <w:t>Plan 2025.</w:t>
            </w:r>
          </w:p>
        </w:tc>
        <w:tc>
          <w:tcPr>
            <w:tcW w:w="996" w:type="dxa"/>
            <w:shd w:val="clear" w:color="auto" w:fill="D0CECE"/>
            <w:vAlign w:val="center"/>
          </w:tcPr>
          <w:p w14:paraId="1F3747CF" w14:textId="77777777" w:rsidR="00786331" w:rsidRDefault="002B2CC0">
            <w:pPr>
              <w:jc w:val="center"/>
            </w:pPr>
            <w:r>
              <w:t>Indeks 23./22.</w:t>
            </w:r>
          </w:p>
        </w:tc>
      </w:tr>
      <w:tr w:rsidR="00786331" w14:paraId="1F3747D8" w14:textId="77777777">
        <w:tc>
          <w:tcPr>
            <w:tcW w:w="2263" w:type="dxa"/>
          </w:tcPr>
          <w:p w14:paraId="1F3747D1" w14:textId="77777777" w:rsidR="00786331" w:rsidRDefault="002B2CC0">
            <w:r>
              <w:t xml:space="preserve">K679116 OBNOVA INFRASTRUKTURE I OPREME U PODRUČJU OBRAZOVANJA </w:t>
            </w:r>
            <w:r>
              <w:lastRenderedPageBreak/>
              <w:t>OŠTEĆENE POTRESOM</w:t>
            </w:r>
          </w:p>
        </w:tc>
        <w:tc>
          <w:tcPr>
            <w:tcW w:w="989" w:type="dxa"/>
          </w:tcPr>
          <w:p w14:paraId="1F3747D2" w14:textId="77777777" w:rsidR="00786331" w:rsidRDefault="00786331">
            <w:pPr>
              <w:jc w:val="both"/>
            </w:pPr>
          </w:p>
        </w:tc>
        <w:tc>
          <w:tcPr>
            <w:tcW w:w="1559" w:type="dxa"/>
          </w:tcPr>
          <w:p w14:paraId="1F3747D3" w14:textId="77777777" w:rsidR="00786331" w:rsidRDefault="00786331">
            <w:pPr>
              <w:jc w:val="both"/>
            </w:pPr>
          </w:p>
        </w:tc>
        <w:tc>
          <w:tcPr>
            <w:tcW w:w="1421" w:type="dxa"/>
          </w:tcPr>
          <w:p w14:paraId="1F3747D4" w14:textId="6392C914" w:rsidR="00786331" w:rsidRDefault="004A1218">
            <w:pPr>
              <w:jc w:val="both"/>
            </w:pPr>
            <w:r>
              <w:t>4.964.870</w:t>
            </w:r>
          </w:p>
        </w:tc>
        <w:tc>
          <w:tcPr>
            <w:tcW w:w="1068" w:type="dxa"/>
          </w:tcPr>
          <w:p w14:paraId="1F3747D5" w14:textId="77777777" w:rsidR="00786331" w:rsidRDefault="002B2CC0">
            <w:pPr>
              <w:jc w:val="both"/>
            </w:pPr>
            <w:r>
              <w:t xml:space="preserve"> </w:t>
            </w:r>
          </w:p>
        </w:tc>
        <w:tc>
          <w:tcPr>
            <w:tcW w:w="772" w:type="dxa"/>
          </w:tcPr>
          <w:p w14:paraId="1F3747D6" w14:textId="77777777" w:rsidR="00786331" w:rsidRDefault="00786331">
            <w:pPr>
              <w:jc w:val="both"/>
            </w:pPr>
          </w:p>
        </w:tc>
        <w:tc>
          <w:tcPr>
            <w:tcW w:w="996" w:type="dxa"/>
          </w:tcPr>
          <w:p w14:paraId="1F3747D7" w14:textId="77777777" w:rsidR="00786331" w:rsidRDefault="00786331">
            <w:pPr>
              <w:jc w:val="both"/>
            </w:pPr>
          </w:p>
        </w:tc>
      </w:tr>
    </w:tbl>
    <w:p w14:paraId="1F3747D9" w14:textId="77777777" w:rsidR="00786331" w:rsidRDefault="002B2CC0">
      <w:pPr>
        <w:jc w:val="both"/>
        <w:rPr>
          <w:i/>
        </w:rPr>
      </w:pPr>
      <w:r>
        <w:rPr>
          <w:i/>
        </w:rPr>
        <w:t>U 2023. godini planira se cjelovita obnova zgrada Fakulteta sjever, jug i istok iz izvora 5761 Fond solidarnosti Europske unije- potres ožujak 2020.</w:t>
      </w:r>
    </w:p>
    <w:p w14:paraId="1F3747DA" w14:textId="77777777" w:rsidR="00786331" w:rsidRDefault="00786331">
      <w:pPr>
        <w:jc w:val="both"/>
        <w:rPr>
          <w:i/>
        </w:rPr>
      </w:pPr>
    </w:p>
    <w:p w14:paraId="1F3747DB" w14:textId="77777777" w:rsidR="00786331" w:rsidRDefault="00786331">
      <w:pPr>
        <w:jc w:val="both"/>
        <w:rPr>
          <w:i/>
        </w:rPr>
      </w:pPr>
    </w:p>
    <w:p w14:paraId="1F3747DC" w14:textId="4392CD99" w:rsidR="00786331" w:rsidRDefault="002B2CC0">
      <w:pPr>
        <w:pBdr>
          <w:top w:val="dotted" w:sz="4" w:space="1" w:color="808080"/>
          <w:bottom w:val="dotted" w:sz="4" w:space="1" w:color="808080"/>
        </w:pBdr>
        <w:shd w:val="clear" w:color="auto" w:fill="D0CECE"/>
        <w:jc w:val="both"/>
      </w:pPr>
      <w:r>
        <w:rPr>
          <w:b/>
          <w:sz w:val="28"/>
          <w:szCs w:val="28"/>
        </w:rPr>
        <w:t>K679119 MEHANIZAM ZA O</w:t>
      </w:r>
      <w:r w:rsidR="00EE0EC6">
        <w:rPr>
          <w:b/>
          <w:sz w:val="28"/>
          <w:szCs w:val="28"/>
        </w:rPr>
        <w:tab/>
      </w:r>
      <w:r>
        <w:rPr>
          <w:b/>
          <w:sz w:val="28"/>
          <w:szCs w:val="28"/>
        </w:rPr>
        <w:t>PORAVAK I OTPORNOST</w:t>
      </w:r>
      <w:r>
        <w:t xml:space="preserve"> </w:t>
      </w:r>
    </w:p>
    <w:tbl>
      <w:tblPr>
        <w:tblStyle w:val="a6"/>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89"/>
        <w:gridCol w:w="1559"/>
        <w:gridCol w:w="1421"/>
        <w:gridCol w:w="1068"/>
        <w:gridCol w:w="772"/>
        <w:gridCol w:w="996"/>
      </w:tblGrid>
      <w:tr w:rsidR="00786331" w14:paraId="1F3747E5" w14:textId="77777777">
        <w:trPr>
          <w:trHeight w:val="667"/>
        </w:trPr>
        <w:tc>
          <w:tcPr>
            <w:tcW w:w="2263" w:type="dxa"/>
            <w:shd w:val="clear" w:color="auto" w:fill="D0CECE"/>
          </w:tcPr>
          <w:p w14:paraId="1F3747DD" w14:textId="77777777" w:rsidR="00786331" w:rsidRDefault="00786331">
            <w:pPr>
              <w:jc w:val="both"/>
            </w:pPr>
          </w:p>
          <w:p w14:paraId="1F3747DE" w14:textId="77777777" w:rsidR="00786331" w:rsidRDefault="00786331">
            <w:pPr>
              <w:jc w:val="both"/>
            </w:pPr>
          </w:p>
        </w:tc>
        <w:tc>
          <w:tcPr>
            <w:tcW w:w="989" w:type="dxa"/>
            <w:shd w:val="clear" w:color="auto" w:fill="D0CECE"/>
            <w:vAlign w:val="center"/>
          </w:tcPr>
          <w:p w14:paraId="1F3747DF" w14:textId="77777777" w:rsidR="00786331" w:rsidRDefault="00786331">
            <w:pPr>
              <w:jc w:val="center"/>
            </w:pPr>
          </w:p>
        </w:tc>
        <w:tc>
          <w:tcPr>
            <w:tcW w:w="1559" w:type="dxa"/>
            <w:shd w:val="clear" w:color="auto" w:fill="D0CECE"/>
            <w:vAlign w:val="center"/>
          </w:tcPr>
          <w:p w14:paraId="1F3747E0" w14:textId="77777777" w:rsidR="00786331" w:rsidRDefault="00786331">
            <w:pPr>
              <w:jc w:val="center"/>
            </w:pPr>
          </w:p>
        </w:tc>
        <w:tc>
          <w:tcPr>
            <w:tcW w:w="1421" w:type="dxa"/>
            <w:shd w:val="clear" w:color="auto" w:fill="D0CECE"/>
            <w:vAlign w:val="center"/>
          </w:tcPr>
          <w:p w14:paraId="1F3747E1" w14:textId="77777777" w:rsidR="00786331" w:rsidRDefault="002B2CC0">
            <w:pPr>
              <w:jc w:val="center"/>
            </w:pPr>
            <w:r>
              <w:t>Plan 2023.</w:t>
            </w:r>
          </w:p>
        </w:tc>
        <w:tc>
          <w:tcPr>
            <w:tcW w:w="1068" w:type="dxa"/>
            <w:shd w:val="clear" w:color="auto" w:fill="D0CECE"/>
            <w:vAlign w:val="center"/>
          </w:tcPr>
          <w:p w14:paraId="1F3747E2" w14:textId="77777777" w:rsidR="00786331" w:rsidRDefault="002B2CC0">
            <w:pPr>
              <w:jc w:val="center"/>
            </w:pPr>
            <w:r>
              <w:t>Plan 2024.</w:t>
            </w:r>
          </w:p>
        </w:tc>
        <w:tc>
          <w:tcPr>
            <w:tcW w:w="772" w:type="dxa"/>
            <w:shd w:val="clear" w:color="auto" w:fill="D0CECE"/>
            <w:vAlign w:val="center"/>
          </w:tcPr>
          <w:p w14:paraId="1F3747E3" w14:textId="77777777" w:rsidR="00786331" w:rsidRDefault="002B2CC0">
            <w:pPr>
              <w:jc w:val="center"/>
            </w:pPr>
            <w:r>
              <w:t>Plan 2025.</w:t>
            </w:r>
          </w:p>
        </w:tc>
        <w:tc>
          <w:tcPr>
            <w:tcW w:w="996" w:type="dxa"/>
            <w:shd w:val="clear" w:color="auto" w:fill="D0CECE"/>
            <w:vAlign w:val="center"/>
          </w:tcPr>
          <w:p w14:paraId="1F3747E4" w14:textId="77777777" w:rsidR="00786331" w:rsidRDefault="002B2CC0">
            <w:pPr>
              <w:jc w:val="center"/>
            </w:pPr>
            <w:r>
              <w:t>Indeks 23./22.</w:t>
            </w:r>
          </w:p>
        </w:tc>
      </w:tr>
      <w:tr w:rsidR="00786331" w14:paraId="1F3747ED" w14:textId="77777777">
        <w:tc>
          <w:tcPr>
            <w:tcW w:w="2263" w:type="dxa"/>
          </w:tcPr>
          <w:p w14:paraId="1F3747E6" w14:textId="77777777" w:rsidR="00786331" w:rsidRDefault="002B2CC0">
            <w:r>
              <w:t>K679119OBNOVA INFRASTRUKTURE I OPREME U PODRUČJU OBRAZOVANJA OŠTEĆENE POTRESOM</w:t>
            </w:r>
          </w:p>
        </w:tc>
        <w:tc>
          <w:tcPr>
            <w:tcW w:w="989" w:type="dxa"/>
          </w:tcPr>
          <w:p w14:paraId="1F3747E7" w14:textId="77777777" w:rsidR="00786331" w:rsidRDefault="00786331">
            <w:pPr>
              <w:jc w:val="both"/>
            </w:pPr>
          </w:p>
        </w:tc>
        <w:tc>
          <w:tcPr>
            <w:tcW w:w="1559" w:type="dxa"/>
          </w:tcPr>
          <w:p w14:paraId="1F3747E8" w14:textId="77777777" w:rsidR="00786331" w:rsidRDefault="00786331">
            <w:pPr>
              <w:jc w:val="both"/>
            </w:pPr>
          </w:p>
        </w:tc>
        <w:tc>
          <w:tcPr>
            <w:tcW w:w="1421" w:type="dxa"/>
          </w:tcPr>
          <w:p w14:paraId="1F3747E9" w14:textId="39BF8F8A" w:rsidR="00786331" w:rsidRDefault="00403411" w:rsidP="004A1218">
            <w:pPr>
              <w:jc w:val="both"/>
            </w:pPr>
            <w:r>
              <w:t>4.496.98</w:t>
            </w:r>
            <w:r w:rsidR="004A1218">
              <w:t>1</w:t>
            </w:r>
          </w:p>
        </w:tc>
        <w:tc>
          <w:tcPr>
            <w:tcW w:w="1068" w:type="dxa"/>
          </w:tcPr>
          <w:p w14:paraId="1F3747EA" w14:textId="77777777" w:rsidR="00786331" w:rsidRDefault="002B2CC0">
            <w:pPr>
              <w:jc w:val="both"/>
            </w:pPr>
            <w:r>
              <w:t xml:space="preserve"> </w:t>
            </w:r>
          </w:p>
        </w:tc>
        <w:tc>
          <w:tcPr>
            <w:tcW w:w="772" w:type="dxa"/>
          </w:tcPr>
          <w:p w14:paraId="1F3747EB" w14:textId="77777777" w:rsidR="00786331" w:rsidRDefault="00786331">
            <w:pPr>
              <w:jc w:val="both"/>
            </w:pPr>
          </w:p>
        </w:tc>
        <w:tc>
          <w:tcPr>
            <w:tcW w:w="996" w:type="dxa"/>
          </w:tcPr>
          <w:p w14:paraId="1F3747EC" w14:textId="77777777" w:rsidR="00786331" w:rsidRDefault="00786331">
            <w:pPr>
              <w:jc w:val="both"/>
            </w:pPr>
          </w:p>
        </w:tc>
      </w:tr>
    </w:tbl>
    <w:p w14:paraId="1F3747EE" w14:textId="77777777" w:rsidR="00786331" w:rsidRDefault="002B2CC0">
      <w:pPr>
        <w:jc w:val="both"/>
        <w:rPr>
          <w:i/>
        </w:rPr>
      </w:pPr>
      <w:r>
        <w:rPr>
          <w:i/>
        </w:rPr>
        <w:t>U 2023. godini planira se cjelovita obnova zgrada Fakulteta sjeveri jug iz izvora 581 Mehanizam za oporavak i otpornost.</w:t>
      </w:r>
    </w:p>
    <w:p w14:paraId="1F3747EF" w14:textId="77777777" w:rsidR="00786331" w:rsidRDefault="00786331">
      <w:pPr>
        <w:jc w:val="both"/>
        <w:rPr>
          <w:i/>
        </w:rPr>
      </w:pPr>
    </w:p>
    <w:p w14:paraId="1F3747F0" w14:textId="77777777" w:rsidR="00786331" w:rsidRDefault="00786331">
      <w:pPr>
        <w:jc w:val="both"/>
      </w:pPr>
    </w:p>
    <w:p w14:paraId="1F3747F1" w14:textId="77777777" w:rsidR="00786331" w:rsidRDefault="002B2CC0">
      <w:pPr>
        <w:pBdr>
          <w:top w:val="dotted" w:sz="4" w:space="1" w:color="808080"/>
          <w:bottom w:val="dotted" w:sz="4" w:space="1" w:color="808080"/>
        </w:pBdr>
        <w:shd w:val="clear" w:color="auto" w:fill="D0CECE"/>
        <w:jc w:val="both"/>
        <w:rPr>
          <w:b/>
          <w:sz w:val="28"/>
          <w:szCs w:val="28"/>
        </w:rPr>
      </w:pPr>
      <w:r>
        <w:rPr>
          <w:b/>
          <w:sz w:val="28"/>
          <w:szCs w:val="28"/>
        </w:rPr>
        <w:t>A679078 EU projekti Sveučilišta u Zagrebu (iz evidencijskih prihoda)</w:t>
      </w:r>
    </w:p>
    <w:p w14:paraId="1F3747F2" w14:textId="77777777" w:rsidR="00786331" w:rsidRDefault="00786331">
      <w:pPr>
        <w:jc w:val="both"/>
        <w:rPr>
          <w:i/>
        </w:rPr>
      </w:pPr>
    </w:p>
    <w:p w14:paraId="1F3747F3" w14:textId="77777777" w:rsidR="00786331" w:rsidRDefault="002B2CC0">
      <w:pPr>
        <w:jc w:val="both"/>
        <w:rPr>
          <w:i/>
        </w:rPr>
      </w:pPr>
      <w:r>
        <w:rPr>
          <w:i/>
        </w:rPr>
        <w:t>Zakonske i druge pravne osnove</w:t>
      </w:r>
    </w:p>
    <w:p w14:paraId="1F3747F4" w14:textId="77777777" w:rsidR="00786331" w:rsidRDefault="00786331">
      <w:pPr>
        <w:jc w:val="both"/>
        <w:rPr>
          <w:i/>
        </w:rPr>
      </w:pPr>
    </w:p>
    <w:p w14:paraId="1F3747F5" w14:textId="77777777" w:rsidR="00786331" w:rsidRDefault="002B2CC0">
      <w:pPr>
        <w:numPr>
          <w:ilvl w:val="0"/>
          <w:numId w:val="2"/>
        </w:numPr>
        <w:pBdr>
          <w:top w:val="nil"/>
          <w:left w:val="nil"/>
          <w:bottom w:val="nil"/>
          <w:right w:val="nil"/>
          <w:between w:val="nil"/>
        </w:pBdr>
        <w:spacing w:line="276" w:lineRule="auto"/>
        <w:jc w:val="both"/>
      </w:pPr>
      <w:r>
        <w:t xml:space="preserve">Zakon o znanstvenoj djelatnosti i visokom obrazovanju </w:t>
      </w:r>
    </w:p>
    <w:p w14:paraId="1F3747F6" w14:textId="77777777" w:rsidR="00786331" w:rsidRDefault="002B2CC0">
      <w:pPr>
        <w:numPr>
          <w:ilvl w:val="0"/>
          <w:numId w:val="2"/>
        </w:numPr>
        <w:pBdr>
          <w:top w:val="nil"/>
          <w:left w:val="nil"/>
          <w:bottom w:val="nil"/>
          <w:right w:val="nil"/>
          <w:between w:val="nil"/>
        </w:pBdr>
        <w:spacing w:line="276" w:lineRule="auto"/>
        <w:jc w:val="both"/>
      </w:pPr>
      <w:r>
        <w:t xml:space="preserve">Europska strategija za pametan, održiv i uključiv rast - Europa 2020., (03͘ ožujak 2010.) </w:t>
      </w:r>
    </w:p>
    <w:p w14:paraId="1F3747F7" w14:textId="77777777" w:rsidR="00786331" w:rsidRDefault="002B2CC0">
      <w:pPr>
        <w:numPr>
          <w:ilvl w:val="0"/>
          <w:numId w:val="2"/>
        </w:numPr>
        <w:pBdr>
          <w:top w:val="nil"/>
          <w:left w:val="nil"/>
          <w:bottom w:val="nil"/>
          <w:right w:val="nil"/>
          <w:between w:val="nil"/>
        </w:pBdr>
        <w:spacing w:line="276" w:lineRule="auto"/>
        <w:jc w:val="both"/>
      </w:pPr>
      <w:r>
        <w:t xml:space="preserve">Sporazum o partnerstvu između Republike Hrvatske i Europske komisije za korištenje Europskih strukturnih i investicijskih fondova za rast i radna mjesta u razdoblju 2014.-2020., (listopad 2014.) </w:t>
      </w:r>
    </w:p>
    <w:p w14:paraId="1F3747F8" w14:textId="77777777" w:rsidR="00786331" w:rsidRDefault="002B2CC0">
      <w:pPr>
        <w:numPr>
          <w:ilvl w:val="0"/>
          <w:numId w:val="2"/>
        </w:numPr>
        <w:pBdr>
          <w:top w:val="nil"/>
          <w:left w:val="nil"/>
          <w:bottom w:val="nil"/>
          <w:right w:val="nil"/>
          <w:between w:val="nil"/>
        </w:pBdr>
        <w:spacing w:line="276" w:lineRule="auto"/>
        <w:jc w:val="both"/>
      </w:pPr>
      <w:r>
        <w:t xml:space="preserve">Plan razvoja istraživačke i inovacijske infrastrukture u Republici Hrvatskoj, (01. travanj 2014.) </w:t>
      </w:r>
    </w:p>
    <w:p w14:paraId="1F3747F9" w14:textId="77777777" w:rsidR="00786331" w:rsidRDefault="002B2CC0">
      <w:pPr>
        <w:numPr>
          <w:ilvl w:val="0"/>
          <w:numId w:val="2"/>
        </w:numPr>
        <w:pBdr>
          <w:top w:val="nil"/>
          <w:left w:val="nil"/>
          <w:bottom w:val="nil"/>
          <w:right w:val="nil"/>
          <w:between w:val="nil"/>
        </w:pBdr>
        <w:spacing w:line="276" w:lineRule="auto"/>
        <w:jc w:val="both"/>
      </w:pPr>
      <w:r>
        <w:t>Strategija poticanja inovacija Republike Hrvatske 2014.-2020., (17. prosinac 2014.)</w:t>
      </w:r>
    </w:p>
    <w:p w14:paraId="1F3747FA" w14:textId="77777777" w:rsidR="00786331" w:rsidRDefault="002B2CC0">
      <w:pPr>
        <w:numPr>
          <w:ilvl w:val="0"/>
          <w:numId w:val="2"/>
        </w:numPr>
        <w:pBdr>
          <w:top w:val="nil"/>
          <w:left w:val="nil"/>
          <w:bottom w:val="nil"/>
          <w:right w:val="nil"/>
          <w:between w:val="nil"/>
        </w:pBdr>
        <w:spacing w:line="276" w:lineRule="auto"/>
        <w:jc w:val="both"/>
      </w:pPr>
      <w:r>
        <w:t>Erasmus međuinstitucijski sporazumi</w:t>
      </w:r>
    </w:p>
    <w:p w14:paraId="1F3747FB" w14:textId="77777777" w:rsidR="00786331" w:rsidRDefault="00786331">
      <w:pPr>
        <w:pBdr>
          <w:top w:val="nil"/>
          <w:left w:val="nil"/>
          <w:bottom w:val="nil"/>
          <w:right w:val="nil"/>
          <w:between w:val="nil"/>
        </w:pBdr>
        <w:spacing w:after="160" w:line="259" w:lineRule="auto"/>
        <w:jc w:val="both"/>
        <w:rPr>
          <w:i/>
          <w:sz w:val="22"/>
          <w:szCs w:val="22"/>
        </w:rPr>
      </w:pPr>
    </w:p>
    <w:tbl>
      <w:tblPr>
        <w:tblStyle w:val="a7"/>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2235"/>
        <w:gridCol w:w="2880"/>
        <w:gridCol w:w="2685"/>
      </w:tblGrid>
      <w:tr w:rsidR="00786331" w14:paraId="1F374801" w14:textId="77777777">
        <w:tc>
          <w:tcPr>
            <w:tcW w:w="1770" w:type="dxa"/>
            <w:shd w:val="clear" w:color="auto" w:fill="D0CECE"/>
          </w:tcPr>
          <w:p w14:paraId="1F3747FC" w14:textId="77777777" w:rsidR="00786331" w:rsidRDefault="00786331">
            <w:pPr>
              <w:jc w:val="both"/>
            </w:pPr>
          </w:p>
          <w:p w14:paraId="1F3747FD" w14:textId="77777777" w:rsidR="00786331" w:rsidRDefault="00786331">
            <w:pPr>
              <w:jc w:val="both"/>
            </w:pPr>
          </w:p>
        </w:tc>
        <w:tc>
          <w:tcPr>
            <w:tcW w:w="2235" w:type="dxa"/>
            <w:shd w:val="clear" w:color="auto" w:fill="D0CECE"/>
            <w:vAlign w:val="center"/>
          </w:tcPr>
          <w:p w14:paraId="1F3747FE" w14:textId="77777777" w:rsidR="00786331" w:rsidRDefault="002B2CC0">
            <w:pPr>
              <w:jc w:val="center"/>
            </w:pPr>
            <w:r>
              <w:t>Plan 2023.</w:t>
            </w:r>
          </w:p>
        </w:tc>
        <w:tc>
          <w:tcPr>
            <w:tcW w:w="2880" w:type="dxa"/>
            <w:shd w:val="clear" w:color="auto" w:fill="D0CECE"/>
            <w:vAlign w:val="center"/>
          </w:tcPr>
          <w:p w14:paraId="1F3747FF" w14:textId="77777777" w:rsidR="00786331" w:rsidRDefault="002B2CC0">
            <w:pPr>
              <w:jc w:val="center"/>
            </w:pPr>
            <w:r>
              <w:t>Plan 2024.</w:t>
            </w:r>
          </w:p>
        </w:tc>
        <w:tc>
          <w:tcPr>
            <w:tcW w:w="2685" w:type="dxa"/>
            <w:shd w:val="clear" w:color="auto" w:fill="D0CECE"/>
            <w:vAlign w:val="center"/>
          </w:tcPr>
          <w:p w14:paraId="1F374800" w14:textId="77777777" w:rsidR="00786331" w:rsidRDefault="002B2CC0">
            <w:pPr>
              <w:jc w:val="center"/>
            </w:pPr>
            <w:r>
              <w:t>Plan 2025.</w:t>
            </w:r>
          </w:p>
        </w:tc>
      </w:tr>
      <w:tr w:rsidR="00786331" w14:paraId="1F374807" w14:textId="77777777">
        <w:tc>
          <w:tcPr>
            <w:tcW w:w="1770" w:type="dxa"/>
          </w:tcPr>
          <w:p w14:paraId="1F374802" w14:textId="77777777" w:rsidR="00786331" w:rsidRDefault="002B2CC0">
            <w:r>
              <w:t>A679078</w:t>
            </w:r>
          </w:p>
          <w:p w14:paraId="1F374803" w14:textId="77777777" w:rsidR="00786331" w:rsidRDefault="002B2CC0">
            <w:r>
              <w:t>EU projekti Sveučilišta i Zagrebu (iz evidencijskih prihoda)</w:t>
            </w:r>
          </w:p>
        </w:tc>
        <w:tc>
          <w:tcPr>
            <w:tcW w:w="2235" w:type="dxa"/>
          </w:tcPr>
          <w:p w14:paraId="1F374804" w14:textId="5A7A5B2F" w:rsidR="00786331" w:rsidRDefault="00307114">
            <w:pPr>
              <w:jc w:val="center"/>
            </w:pPr>
            <w:r>
              <w:t>381.290</w:t>
            </w:r>
          </w:p>
        </w:tc>
        <w:tc>
          <w:tcPr>
            <w:tcW w:w="2880" w:type="dxa"/>
          </w:tcPr>
          <w:p w14:paraId="1F374805" w14:textId="2BCC8F4C" w:rsidR="00786331" w:rsidRDefault="00307114">
            <w:pPr>
              <w:jc w:val="center"/>
              <w:rPr>
                <w:highlight w:val="white"/>
              </w:rPr>
            </w:pPr>
            <w:r>
              <w:rPr>
                <w:highlight w:val="white"/>
              </w:rPr>
              <w:t>202.200</w:t>
            </w:r>
          </w:p>
        </w:tc>
        <w:tc>
          <w:tcPr>
            <w:tcW w:w="2685" w:type="dxa"/>
          </w:tcPr>
          <w:p w14:paraId="1F374806" w14:textId="2696B889" w:rsidR="00786331" w:rsidRDefault="00307114">
            <w:pPr>
              <w:jc w:val="center"/>
              <w:rPr>
                <w:highlight w:val="white"/>
              </w:rPr>
            </w:pPr>
            <w:r>
              <w:rPr>
                <w:highlight w:val="white"/>
              </w:rPr>
              <w:t>143.156</w:t>
            </w:r>
          </w:p>
        </w:tc>
      </w:tr>
    </w:tbl>
    <w:p w14:paraId="1F374808" w14:textId="77777777" w:rsidR="00786331" w:rsidRDefault="00786331">
      <w:pPr>
        <w:jc w:val="both"/>
        <w:rPr>
          <w:i/>
        </w:rPr>
      </w:pPr>
    </w:p>
    <w:p w14:paraId="1F374809" w14:textId="77777777" w:rsidR="00786331" w:rsidRDefault="002B2CC0">
      <w:pPr>
        <w:ind w:left="4320" w:firstLine="720"/>
        <w:jc w:val="both"/>
        <w:rPr>
          <w:i/>
        </w:rPr>
      </w:pPr>
      <w:r>
        <w:rPr>
          <w:i/>
        </w:rPr>
        <w:tab/>
      </w:r>
      <w:r>
        <w:rPr>
          <w:i/>
        </w:rPr>
        <w:tab/>
      </w:r>
      <w:r>
        <w:rPr>
          <w:i/>
        </w:rPr>
        <w:tab/>
      </w:r>
    </w:p>
    <w:p w14:paraId="1F37480A" w14:textId="53F356DD" w:rsidR="00786331" w:rsidRDefault="00786331">
      <w:pPr>
        <w:jc w:val="both"/>
        <w:rPr>
          <w:i/>
        </w:rPr>
      </w:pPr>
    </w:p>
    <w:p w14:paraId="39582DE2" w14:textId="06E50987" w:rsidR="002B2CC0" w:rsidRDefault="002B2CC0">
      <w:pPr>
        <w:jc w:val="both"/>
        <w:rPr>
          <w:i/>
        </w:rPr>
      </w:pPr>
    </w:p>
    <w:p w14:paraId="1F37480B" w14:textId="77777777" w:rsidR="00786331" w:rsidRDefault="002B2CC0">
      <w:pPr>
        <w:spacing w:before="240"/>
        <w:jc w:val="both"/>
      </w:pPr>
      <w:r>
        <w:lastRenderedPageBreak/>
        <w:t>Ova aktivnost/ projekt sastoji se od sljedećih podprojekata:</w:t>
      </w:r>
    </w:p>
    <w:p w14:paraId="1F37480C" w14:textId="77777777" w:rsidR="00786331" w:rsidRDefault="00786331">
      <w:pPr>
        <w:pBdr>
          <w:top w:val="nil"/>
          <w:left w:val="nil"/>
          <w:bottom w:val="nil"/>
          <w:right w:val="nil"/>
          <w:between w:val="nil"/>
        </w:pBdr>
        <w:spacing w:after="160" w:line="259" w:lineRule="auto"/>
        <w:ind w:left="720"/>
        <w:jc w:val="both"/>
        <w:rPr>
          <w:i/>
        </w:rPr>
      </w:pPr>
    </w:p>
    <w:p w14:paraId="1F37480D" w14:textId="77777777" w:rsidR="00786331" w:rsidRDefault="002B2CC0">
      <w:pPr>
        <w:numPr>
          <w:ilvl w:val="0"/>
          <w:numId w:val="3"/>
        </w:numPr>
        <w:pBdr>
          <w:top w:val="nil"/>
          <w:left w:val="nil"/>
          <w:bottom w:val="nil"/>
          <w:right w:val="nil"/>
          <w:between w:val="nil"/>
        </w:pBdr>
        <w:spacing w:line="259" w:lineRule="auto"/>
        <w:jc w:val="both"/>
      </w:pPr>
      <w:r>
        <w:t>'A679078.678 (ERASMUS+); LSP Internetski tečaj za stručno usavršavanje nastavnika; izvor 52, iznos planiranih sredstava u 2023. godini je 9.680,00 EUR (službena putovanja, stručno usavršavanje zaposlenika i intelektualne usluge).</w:t>
      </w:r>
    </w:p>
    <w:p w14:paraId="1F37480E" w14:textId="77777777" w:rsidR="00786331" w:rsidRDefault="002B2CC0">
      <w:pPr>
        <w:numPr>
          <w:ilvl w:val="0"/>
          <w:numId w:val="3"/>
        </w:numPr>
        <w:pBdr>
          <w:top w:val="nil"/>
          <w:left w:val="nil"/>
          <w:bottom w:val="nil"/>
          <w:right w:val="nil"/>
          <w:between w:val="nil"/>
        </w:pBdr>
        <w:spacing w:line="259" w:lineRule="auto"/>
        <w:jc w:val="both"/>
      </w:pPr>
      <w:r>
        <w:t>'A679078.682 (ERASMUS+); SEAS 4.0 ODRŽIVI BROD I DOSTAVA 4.0; izvor 52, iznos planiranih sredstava u 2023. godini je 32.800,00 EUR (Službena putovanja, stručno usavršavanje zaposlenika, usluge promidžbe i informiranja, intelektualne usluge i reprezentaciju).</w:t>
      </w:r>
    </w:p>
    <w:p w14:paraId="1F37480F" w14:textId="77777777" w:rsidR="00786331" w:rsidRDefault="002B2CC0">
      <w:pPr>
        <w:numPr>
          <w:ilvl w:val="0"/>
          <w:numId w:val="3"/>
        </w:numPr>
        <w:pBdr>
          <w:top w:val="nil"/>
          <w:left w:val="nil"/>
          <w:bottom w:val="nil"/>
          <w:right w:val="nil"/>
          <w:between w:val="nil"/>
        </w:pBdr>
        <w:spacing w:line="259" w:lineRule="auto"/>
        <w:jc w:val="both"/>
      </w:pPr>
      <w:r>
        <w:t>'A679078.687 (ERASMUS+); STAND-Jačanje autonomije sveučilišta i povećanje odgovornosti i transparentnosti sveučilišta Zapadnog Balkana; izvor 52; iznos planiranih sredstava u 2023. godini je 7.650,00 EUR (službena putovanja i intelektualne usluge).</w:t>
      </w:r>
    </w:p>
    <w:p w14:paraId="1F374810" w14:textId="77777777" w:rsidR="00786331" w:rsidRDefault="002B2CC0">
      <w:pPr>
        <w:numPr>
          <w:ilvl w:val="0"/>
          <w:numId w:val="3"/>
        </w:numPr>
        <w:pBdr>
          <w:top w:val="nil"/>
          <w:left w:val="nil"/>
          <w:bottom w:val="nil"/>
          <w:right w:val="nil"/>
          <w:between w:val="nil"/>
        </w:pBdr>
        <w:spacing w:line="259" w:lineRule="auto"/>
        <w:jc w:val="both"/>
      </w:pPr>
      <w:r>
        <w:t>'A679078.686 (ERASMUS+); SHIPMARTECH-Nadogradnja i usklađivanje magistarskih tečajeva pomorskog inženjerstva, izvor 52, iznos planiranih sredstava u 2023. godini je 19.956,00 EUR (službena putovanja i intelektualne usluge).</w:t>
      </w:r>
    </w:p>
    <w:p w14:paraId="1F374811" w14:textId="77777777" w:rsidR="00786331" w:rsidRDefault="002B2CC0">
      <w:pPr>
        <w:numPr>
          <w:ilvl w:val="0"/>
          <w:numId w:val="3"/>
        </w:numPr>
        <w:pBdr>
          <w:top w:val="nil"/>
          <w:left w:val="nil"/>
          <w:bottom w:val="nil"/>
          <w:right w:val="nil"/>
          <w:between w:val="nil"/>
        </w:pBdr>
        <w:spacing w:line="259" w:lineRule="auto"/>
        <w:jc w:val="both"/>
      </w:pPr>
      <w:r>
        <w:t>'A679078.683 (ERASMUS+) CResDET - Digitalno obrazovanje i osposobljavanje otporno na krize, izvor 52, iznos planiranih sredstava u 2023. godini je 7.500,00 EUR (službena putovanja, stručno usavršavanje zaposlenika, usluge promidžbe i informiranja, intelektualne usluge i reprezentacija).</w:t>
      </w:r>
    </w:p>
    <w:p w14:paraId="1F374812" w14:textId="77777777" w:rsidR="00786331" w:rsidRDefault="002B2CC0">
      <w:pPr>
        <w:numPr>
          <w:ilvl w:val="0"/>
          <w:numId w:val="3"/>
        </w:numPr>
        <w:spacing w:line="259" w:lineRule="auto"/>
        <w:jc w:val="both"/>
      </w:pPr>
      <w:r>
        <w:t>Novi podprojekt (ERASMUS+); Mainstreaming Environmental Communication through Online Learning and Virtual Mobility, izvor 52; iznos planiranih sredstava u 2023. godini je 11.800,00 EUR (službena putovanja i intelektualne usluge).</w:t>
      </w:r>
    </w:p>
    <w:p w14:paraId="1F374813" w14:textId="77777777" w:rsidR="00786331" w:rsidRDefault="002B2CC0">
      <w:pPr>
        <w:numPr>
          <w:ilvl w:val="0"/>
          <w:numId w:val="3"/>
        </w:numPr>
        <w:spacing w:line="259" w:lineRule="auto"/>
        <w:jc w:val="both"/>
      </w:pPr>
      <w:r>
        <w:t>Novi podprojekt (ERASMUS+); PROduct HACKathons for INnovative development - PRO HACKIN’ , izvor 52; iznos planiranih sredstava u 2023. godini je 18.000,00 EUR (službena putovanja, stručno usavršavanje zaposlenika, usluge promidžbe i informiranja, intelektualne usluge i reprezentacija).</w:t>
      </w:r>
    </w:p>
    <w:p w14:paraId="1F374814" w14:textId="77777777" w:rsidR="00786331" w:rsidRDefault="002B2CC0">
      <w:pPr>
        <w:numPr>
          <w:ilvl w:val="0"/>
          <w:numId w:val="3"/>
        </w:numPr>
        <w:spacing w:line="259" w:lineRule="auto"/>
        <w:jc w:val="both"/>
      </w:pPr>
      <w:r>
        <w:t>'A679078.076 (OBZOR 2020) INSULAE - Maksimiziranje utjecaja inovativnih energetskih pristupa na otocima EU-a; izvor 51, iznos planiranih sredstava u 2023. godini je 27.440,00 EUR (plaće za redovan rad, službena putovanja i intelektualne usluge).</w:t>
      </w:r>
    </w:p>
    <w:p w14:paraId="1F374815" w14:textId="77777777" w:rsidR="00786331" w:rsidRDefault="002B2CC0">
      <w:pPr>
        <w:numPr>
          <w:ilvl w:val="0"/>
          <w:numId w:val="3"/>
        </w:numPr>
        <w:spacing w:line="259" w:lineRule="auto"/>
        <w:jc w:val="both"/>
      </w:pPr>
      <w:r>
        <w:t>'A679078.680 (OBZOR 2020) 'EXAFOAM - Iskorištavanje sustava Exascale; izvor 51, iznos planiranih sredstava u 2023. godini je 46.600,00 EUR (plaće za redovan rad, službena putovanja, stručno usavršavanje zaposlenika i usluge tekućeg i investicijskog održavanja).</w:t>
      </w:r>
    </w:p>
    <w:p w14:paraId="1F374816" w14:textId="77777777" w:rsidR="00786331" w:rsidRDefault="002B2CC0">
      <w:pPr>
        <w:numPr>
          <w:ilvl w:val="0"/>
          <w:numId w:val="3"/>
        </w:numPr>
        <w:spacing w:line="259" w:lineRule="auto"/>
        <w:jc w:val="both"/>
      </w:pPr>
      <w:r>
        <w:t>'A679078.077 (OBZOR 2020) NOWELTIES - Zajednički doktorski laboratorij za nove materijale i inovativne tehnologije pročišćavanja vode;  izvor 51, iznos planiranih sredstava u 2023. godini je 7.600,00 EUR (službena putovanja, uredski materijal, reprezentacija, članarine i norme, uredska oprema i namještaj) .</w:t>
      </w:r>
    </w:p>
    <w:p w14:paraId="1F374817" w14:textId="77777777" w:rsidR="00786331" w:rsidRDefault="002B2CC0">
      <w:pPr>
        <w:numPr>
          <w:ilvl w:val="0"/>
          <w:numId w:val="3"/>
        </w:numPr>
        <w:spacing w:line="259" w:lineRule="auto"/>
        <w:jc w:val="both"/>
      </w:pPr>
      <w:r>
        <w:t>'A679078.233 (OBZOR 2020) 'REWARDHEAT- Uporaba topline iz obnovljivih izvora i otpada za konkurentne mreže daljinskog grijanja i hlađenja, izvor 51, iznos planiranih sredstava u 2023. godini je 26.000,00 EUR (službena putovanja i intelektualne usluge, reprezentacija).</w:t>
      </w:r>
    </w:p>
    <w:p w14:paraId="1F374818" w14:textId="77777777" w:rsidR="00786331" w:rsidRDefault="002B2CC0">
      <w:pPr>
        <w:numPr>
          <w:ilvl w:val="0"/>
          <w:numId w:val="3"/>
        </w:numPr>
        <w:spacing w:line="259" w:lineRule="auto"/>
        <w:jc w:val="both"/>
      </w:pPr>
      <w:r>
        <w:t>'A679078.236 (EMPIR) ProbeTrace - Sljedivost za mjerenje kontaktnih sondi i olovnih instrumenata,  izvor 51,  iznos planiranih sredstava u 2023. godini je 5.600,00 EUR (službena putovanja,  članarine i norme).</w:t>
      </w:r>
    </w:p>
    <w:p w14:paraId="1F374819" w14:textId="77777777" w:rsidR="00786331" w:rsidRDefault="002B2CC0">
      <w:pPr>
        <w:numPr>
          <w:ilvl w:val="0"/>
          <w:numId w:val="3"/>
        </w:numPr>
        <w:pBdr>
          <w:top w:val="nil"/>
          <w:left w:val="nil"/>
          <w:bottom w:val="nil"/>
          <w:right w:val="nil"/>
          <w:between w:val="nil"/>
        </w:pBdr>
        <w:spacing w:line="259" w:lineRule="auto"/>
        <w:jc w:val="both"/>
      </w:pPr>
      <w:r>
        <w:lastRenderedPageBreak/>
        <w:t>Novi podprojekt (OBZOR EUROPA); Strengthening Research and Innovation Excellence in Autonomous Aerial Systems - AeroSTREAM, izvor 51, iznos planiranih sredstva u 2023. godini je 53.750,00 EUR (plaće za redovan rad, službena putovanja, stručno usavršavanje zaposlenika, uredski materijal i usluge promidžbe i informiranja).</w:t>
      </w:r>
    </w:p>
    <w:p w14:paraId="1F37481A" w14:textId="77777777" w:rsidR="00786331" w:rsidRDefault="002B2CC0">
      <w:pPr>
        <w:numPr>
          <w:ilvl w:val="0"/>
          <w:numId w:val="3"/>
        </w:numPr>
        <w:spacing w:line="259" w:lineRule="auto"/>
        <w:jc w:val="both"/>
      </w:pPr>
      <w:r>
        <w:t>Novi podprojekt (OBZOR EUROPA); ECOsystem-based governance with DAnube lighthouse Living Lab for sustainable Innovation processes - EcoDaLLi, izvor 51, iznos planiranih sredstva u 2023. godini je 20.600,00 EUR (službena putovanja, Intelektualne usluge, reprezentacija).</w:t>
      </w:r>
    </w:p>
    <w:p w14:paraId="1F37481B" w14:textId="77777777" w:rsidR="00786331" w:rsidRDefault="002B2CC0">
      <w:pPr>
        <w:numPr>
          <w:ilvl w:val="0"/>
          <w:numId w:val="3"/>
        </w:numPr>
        <w:spacing w:line="259" w:lineRule="auto"/>
        <w:jc w:val="both"/>
      </w:pPr>
      <w:r>
        <w:t>Novi podprojekt (OBZOR EUROPA); EYES-HEARTS-HANDS URBAN REVOLUTION - EHH urban, izvor 51, iznos planiranih sredstava u 2023. godni je 27.000,00 EUR (plaće za redovan rad, službena putovanja, usluge promidžbe i informiranja, intelektualne usluge, reprezentacija).</w:t>
      </w:r>
    </w:p>
    <w:p w14:paraId="1F37481C" w14:textId="77777777" w:rsidR="00786331" w:rsidRDefault="002B2CC0">
      <w:pPr>
        <w:numPr>
          <w:ilvl w:val="0"/>
          <w:numId w:val="3"/>
        </w:numPr>
        <w:spacing w:line="259" w:lineRule="auto"/>
        <w:jc w:val="both"/>
      </w:pPr>
      <w:r>
        <w:t>Novi podprojekt (OBZOR EUROPA); HYBRID TANDEM CATALYTIC PRODUCTION OF HIGHER-OXYGENATE E-FUELS; E-TANDEM, izvor 51, iznos planiranih sredstava u 2023. godini je 60.000,00 EUR (plaće za redovan rad, službena putovanja, uredski materijal, usluge promidžbe i informiranja, reprezentacija, uredska oprema).</w:t>
      </w:r>
    </w:p>
    <w:p w14:paraId="1F37481D" w14:textId="77777777" w:rsidR="00786331" w:rsidRDefault="002B2CC0">
      <w:pPr>
        <w:numPr>
          <w:ilvl w:val="0"/>
          <w:numId w:val="3"/>
        </w:numPr>
        <w:spacing w:line="259" w:lineRule="auto"/>
        <w:jc w:val="both"/>
      </w:pPr>
      <w:r>
        <w:t xml:space="preserve">MultiSintAge (PZS-2019-02-4177), Višerazinsko numeričko modeliranje i eksperimentalno istraživanje procesa starenja u sinteriranim konstrukcijskim komponentama), izvor 52, iznos planiranih sredstava u 2023. godini je 62.477,00 EUR (plaće za redovan rad, službena </w:t>
      </w:r>
      <w:r>
        <w:rPr>
          <w:highlight w:val="white"/>
        </w:rPr>
        <w:t>putovanja, ostali tekući izdaci).</w:t>
      </w:r>
    </w:p>
    <w:p w14:paraId="1F37481E" w14:textId="77777777" w:rsidR="00786331" w:rsidRDefault="002B2CC0">
      <w:pPr>
        <w:numPr>
          <w:ilvl w:val="0"/>
          <w:numId w:val="3"/>
        </w:numPr>
        <w:spacing w:line="259" w:lineRule="auto"/>
        <w:jc w:val="both"/>
        <w:rPr>
          <w:highlight w:val="white"/>
        </w:rPr>
      </w:pPr>
      <w:r>
        <w:rPr>
          <w:highlight w:val="white"/>
        </w:rPr>
        <w:t>Industrial Mobile Manipulator Challenge (EIT MANUFACTURING HUB), izvor 52, iznos planiranih sredstava u 2023. godini je 5.000,00 EUR (službena putovanja, uredska oprema).</w:t>
      </w:r>
    </w:p>
    <w:p w14:paraId="1F37481F" w14:textId="77777777" w:rsidR="00786331" w:rsidRDefault="002B2CC0">
      <w:pPr>
        <w:numPr>
          <w:ilvl w:val="0"/>
          <w:numId w:val="3"/>
        </w:numPr>
        <w:spacing w:after="160" w:line="259" w:lineRule="auto"/>
        <w:jc w:val="both"/>
        <w:rPr>
          <w:highlight w:val="white"/>
        </w:rPr>
      </w:pPr>
      <w:r>
        <w:rPr>
          <w:highlight w:val="white"/>
        </w:rPr>
        <w:t>ConnectSEE (EIT MANUFACTURING HUB), izvor 52, iznos planiranih sredstava u 2023. godini je 5.000,00 EUR (službena putovanja, uredska oprema).</w:t>
      </w:r>
    </w:p>
    <w:tbl>
      <w:tblPr>
        <w:tblStyle w:val="a8"/>
        <w:tblW w:w="1865" w:type="dxa"/>
        <w:tblBorders>
          <w:top w:val="nil"/>
          <w:left w:val="nil"/>
          <w:bottom w:val="nil"/>
          <w:right w:val="nil"/>
          <w:insideH w:val="nil"/>
          <w:insideV w:val="nil"/>
        </w:tblBorders>
        <w:tblLayout w:type="fixed"/>
        <w:tblLook w:val="0600" w:firstRow="0" w:lastRow="0" w:firstColumn="0" w:lastColumn="0" w:noHBand="1" w:noVBand="1"/>
      </w:tblPr>
      <w:tblGrid>
        <w:gridCol w:w="1865"/>
      </w:tblGrid>
      <w:tr w:rsidR="00786331" w14:paraId="1F374821" w14:textId="77777777">
        <w:trPr>
          <w:trHeight w:val="533"/>
        </w:trPr>
        <w:tc>
          <w:tcPr>
            <w:tcW w:w="1865" w:type="dxa"/>
            <w:tcBorders>
              <w:top w:val="nil"/>
              <w:left w:val="nil"/>
              <w:bottom w:val="nil"/>
              <w:right w:val="nil"/>
            </w:tcBorders>
            <w:tcMar>
              <w:top w:w="100" w:type="dxa"/>
              <w:left w:w="100" w:type="dxa"/>
              <w:bottom w:w="100" w:type="dxa"/>
              <w:right w:w="100" w:type="dxa"/>
            </w:tcMar>
          </w:tcPr>
          <w:p w14:paraId="1F374820" w14:textId="77777777" w:rsidR="00786331" w:rsidRDefault="00786331">
            <w:pPr>
              <w:widowControl w:val="0"/>
              <w:pBdr>
                <w:top w:val="nil"/>
                <w:left w:val="nil"/>
                <w:bottom w:val="nil"/>
                <w:right w:val="nil"/>
                <w:between w:val="nil"/>
              </w:pBdr>
              <w:spacing w:line="276" w:lineRule="auto"/>
            </w:pPr>
          </w:p>
        </w:tc>
      </w:tr>
    </w:tbl>
    <w:p w14:paraId="1F374822" w14:textId="77777777" w:rsidR="00786331" w:rsidRDefault="00786331">
      <w:pPr>
        <w:jc w:val="both"/>
        <w:rPr>
          <w:i/>
        </w:rPr>
      </w:pPr>
    </w:p>
    <w:tbl>
      <w:tblPr>
        <w:tblStyle w:val="a9"/>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560"/>
        <w:gridCol w:w="1118"/>
        <w:gridCol w:w="1119"/>
        <w:gridCol w:w="1119"/>
        <w:gridCol w:w="1119"/>
        <w:gridCol w:w="1119"/>
        <w:gridCol w:w="1119"/>
      </w:tblGrid>
      <w:tr w:rsidR="00786331" w14:paraId="1F37482B" w14:textId="77777777">
        <w:tc>
          <w:tcPr>
            <w:tcW w:w="1129" w:type="dxa"/>
            <w:shd w:val="clear" w:color="auto" w:fill="D0CECE"/>
            <w:vAlign w:val="center"/>
          </w:tcPr>
          <w:p w14:paraId="1F374823" w14:textId="77777777" w:rsidR="00786331" w:rsidRDefault="002B2CC0">
            <w:pPr>
              <w:jc w:val="center"/>
              <w:rPr>
                <w:sz w:val="20"/>
                <w:szCs w:val="20"/>
              </w:rPr>
            </w:pPr>
            <w:r>
              <w:rPr>
                <w:sz w:val="20"/>
                <w:szCs w:val="20"/>
              </w:rPr>
              <w:t>Pokazatelj rezultata</w:t>
            </w:r>
          </w:p>
        </w:tc>
        <w:tc>
          <w:tcPr>
            <w:tcW w:w="1560" w:type="dxa"/>
            <w:shd w:val="clear" w:color="auto" w:fill="D0CECE"/>
            <w:vAlign w:val="center"/>
          </w:tcPr>
          <w:p w14:paraId="1F374824" w14:textId="77777777" w:rsidR="00786331" w:rsidRDefault="002B2CC0">
            <w:pPr>
              <w:jc w:val="center"/>
              <w:rPr>
                <w:sz w:val="20"/>
                <w:szCs w:val="20"/>
              </w:rPr>
            </w:pPr>
            <w:r>
              <w:rPr>
                <w:sz w:val="20"/>
                <w:szCs w:val="20"/>
              </w:rPr>
              <w:t>Definicija</w:t>
            </w:r>
          </w:p>
        </w:tc>
        <w:tc>
          <w:tcPr>
            <w:tcW w:w="1118" w:type="dxa"/>
            <w:shd w:val="clear" w:color="auto" w:fill="D0CECE"/>
            <w:vAlign w:val="center"/>
          </w:tcPr>
          <w:p w14:paraId="1F374825" w14:textId="77777777" w:rsidR="00786331" w:rsidRDefault="002B2CC0">
            <w:pPr>
              <w:jc w:val="center"/>
              <w:rPr>
                <w:sz w:val="20"/>
                <w:szCs w:val="20"/>
              </w:rPr>
            </w:pPr>
            <w:r>
              <w:rPr>
                <w:sz w:val="20"/>
                <w:szCs w:val="20"/>
              </w:rPr>
              <w:t>Jedinica</w:t>
            </w:r>
          </w:p>
        </w:tc>
        <w:tc>
          <w:tcPr>
            <w:tcW w:w="1119" w:type="dxa"/>
            <w:shd w:val="clear" w:color="auto" w:fill="D0CECE"/>
            <w:vAlign w:val="center"/>
          </w:tcPr>
          <w:p w14:paraId="1F374826" w14:textId="77777777" w:rsidR="00786331" w:rsidRDefault="002B2CC0">
            <w:pPr>
              <w:jc w:val="center"/>
              <w:rPr>
                <w:sz w:val="20"/>
                <w:szCs w:val="20"/>
              </w:rPr>
            </w:pPr>
            <w:r>
              <w:rPr>
                <w:sz w:val="20"/>
                <w:szCs w:val="20"/>
              </w:rPr>
              <w:t>Polazna vrijednost</w:t>
            </w:r>
          </w:p>
        </w:tc>
        <w:tc>
          <w:tcPr>
            <w:tcW w:w="1119" w:type="dxa"/>
            <w:shd w:val="clear" w:color="auto" w:fill="D0CECE"/>
            <w:vAlign w:val="center"/>
          </w:tcPr>
          <w:p w14:paraId="1F374827" w14:textId="77777777" w:rsidR="00786331" w:rsidRDefault="002B2CC0">
            <w:pPr>
              <w:jc w:val="center"/>
              <w:rPr>
                <w:sz w:val="20"/>
                <w:szCs w:val="20"/>
              </w:rPr>
            </w:pPr>
            <w:r>
              <w:rPr>
                <w:sz w:val="20"/>
                <w:szCs w:val="20"/>
              </w:rPr>
              <w:t>Izvor podataka</w:t>
            </w:r>
          </w:p>
        </w:tc>
        <w:tc>
          <w:tcPr>
            <w:tcW w:w="1119" w:type="dxa"/>
            <w:shd w:val="clear" w:color="auto" w:fill="D0CECE"/>
            <w:vAlign w:val="center"/>
          </w:tcPr>
          <w:p w14:paraId="1F374828" w14:textId="77777777" w:rsidR="00786331" w:rsidRDefault="002B2CC0">
            <w:pPr>
              <w:jc w:val="center"/>
              <w:rPr>
                <w:sz w:val="20"/>
                <w:szCs w:val="20"/>
              </w:rPr>
            </w:pPr>
            <w:r>
              <w:rPr>
                <w:sz w:val="20"/>
                <w:szCs w:val="20"/>
              </w:rPr>
              <w:t>Ciljana vrijednost za 2023.</w:t>
            </w:r>
          </w:p>
        </w:tc>
        <w:tc>
          <w:tcPr>
            <w:tcW w:w="1119" w:type="dxa"/>
            <w:shd w:val="clear" w:color="auto" w:fill="D0CECE"/>
          </w:tcPr>
          <w:p w14:paraId="1F374829" w14:textId="77777777" w:rsidR="00786331" w:rsidRDefault="002B2CC0">
            <w:pPr>
              <w:jc w:val="center"/>
              <w:rPr>
                <w:sz w:val="20"/>
                <w:szCs w:val="20"/>
              </w:rPr>
            </w:pPr>
            <w:r>
              <w:rPr>
                <w:sz w:val="20"/>
                <w:szCs w:val="20"/>
              </w:rPr>
              <w:t>Ciljana vrijednost za 2024.</w:t>
            </w:r>
          </w:p>
        </w:tc>
        <w:tc>
          <w:tcPr>
            <w:tcW w:w="1119" w:type="dxa"/>
            <w:shd w:val="clear" w:color="auto" w:fill="D0CECE"/>
          </w:tcPr>
          <w:p w14:paraId="1F37482A" w14:textId="77777777" w:rsidR="00786331" w:rsidRDefault="002B2CC0">
            <w:pPr>
              <w:jc w:val="center"/>
              <w:rPr>
                <w:sz w:val="20"/>
                <w:szCs w:val="20"/>
              </w:rPr>
            </w:pPr>
            <w:r>
              <w:rPr>
                <w:sz w:val="20"/>
                <w:szCs w:val="20"/>
              </w:rPr>
              <w:t>Ciljana vrijednost za 2025.</w:t>
            </w:r>
          </w:p>
        </w:tc>
      </w:tr>
      <w:tr w:rsidR="00786331" w14:paraId="1F374838" w14:textId="77777777">
        <w:tc>
          <w:tcPr>
            <w:tcW w:w="1129" w:type="dxa"/>
            <w:tcBorders>
              <w:bottom w:val="single" w:sz="4" w:space="0" w:color="000000"/>
            </w:tcBorders>
            <w:shd w:val="clear" w:color="auto" w:fill="auto"/>
            <w:vAlign w:val="center"/>
          </w:tcPr>
          <w:p w14:paraId="1F37482C" w14:textId="77777777" w:rsidR="00786331" w:rsidRDefault="002B2CC0">
            <w:pPr>
              <w:jc w:val="center"/>
              <w:rPr>
                <w:i/>
              </w:rPr>
            </w:pPr>
            <w:r>
              <w:rPr>
                <w:i/>
              </w:rPr>
              <w:t xml:space="preserve">Broj </w:t>
            </w:r>
          </w:p>
          <w:p w14:paraId="1F37482D" w14:textId="77777777" w:rsidR="00786331" w:rsidRDefault="002B2CC0">
            <w:pPr>
              <w:jc w:val="center"/>
              <w:rPr>
                <w:i/>
              </w:rPr>
            </w:pPr>
            <w:r>
              <w:rPr>
                <w:i/>
              </w:rPr>
              <w:t>dolaznih</w:t>
            </w:r>
          </w:p>
          <w:p w14:paraId="1F37482E" w14:textId="77777777" w:rsidR="00786331" w:rsidRDefault="002B2CC0">
            <w:pPr>
              <w:jc w:val="center"/>
              <w:rPr>
                <w:i/>
              </w:rPr>
            </w:pPr>
            <w:r>
              <w:rPr>
                <w:i/>
              </w:rPr>
              <w:t>studenata</w:t>
            </w:r>
          </w:p>
          <w:p w14:paraId="1F37482F" w14:textId="77777777" w:rsidR="00786331" w:rsidRDefault="00786331">
            <w:pPr>
              <w:jc w:val="center"/>
              <w:rPr>
                <w:i/>
              </w:rPr>
            </w:pPr>
          </w:p>
        </w:tc>
        <w:tc>
          <w:tcPr>
            <w:tcW w:w="1560" w:type="dxa"/>
            <w:tcBorders>
              <w:bottom w:val="single" w:sz="4" w:space="0" w:color="000000"/>
            </w:tcBorders>
            <w:shd w:val="clear" w:color="auto" w:fill="auto"/>
            <w:vAlign w:val="center"/>
          </w:tcPr>
          <w:p w14:paraId="1F374830" w14:textId="77777777" w:rsidR="00786331" w:rsidRDefault="002B2CC0">
            <w:pPr>
              <w:jc w:val="center"/>
              <w:rPr>
                <w:i/>
              </w:rPr>
            </w:pPr>
            <w:r>
              <w:rPr>
                <w:i/>
              </w:rPr>
              <w:t>Udio dolaznih međunarodnih studenata (dolazna mobilnost studenata)</w:t>
            </w:r>
          </w:p>
          <w:p w14:paraId="1F374831" w14:textId="77777777" w:rsidR="00786331" w:rsidRDefault="00786331">
            <w:pPr>
              <w:jc w:val="center"/>
              <w:rPr>
                <w:i/>
              </w:rPr>
            </w:pPr>
          </w:p>
        </w:tc>
        <w:tc>
          <w:tcPr>
            <w:tcW w:w="1118" w:type="dxa"/>
            <w:tcBorders>
              <w:bottom w:val="single" w:sz="4" w:space="0" w:color="000000"/>
            </w:tcBorders>
            <w:shd w:val="clear" w:color="auto" w:fill="auto"/>
            <w:vAlign w:val="center"/>
          </w:tcPr>
          <w:p w14:paraId="1F374832" w14:textId="77777777" w:rsidR="00786331" w:rsidRDefault="002B2CC0">
            <w:pPr>
              <w:jc w:val="center"/>
              <w:rPr>
                <w:i/>
              </w:rPr>
            </w:pPr>
            <w:r>
              <w:rPr>
                <w:i/>
              </w:rPr>
              <w:t>student</w:t>
            </w:r>
          </w:p>
        </w:tc>
        <w:tc>
          <w:tcPr>
            <w:tcW w:w="1119" w:type="dxa"/>
            <w:tcBorders>
              <w:bottom w:val="single" w:sz="4" w:space="0" w:color="000000"/>
            </w:tcBorders>
            <w:shd w:val="clear" w:color="auto" w:fill="auto"/>
            <w:vAlign w:val="center"/>
          </w:tcPr>
          <w:p w14:paraId="1F374833" w14:textId="77777777" w:rsidR="00786331" w:rsidRDefault="002B2CC0">
            <w:pPr>
              <w:jc w:val="center"/>
              <w:rPr>
                <w:i/>
                <w:sz w:val="20"/>
                <w:szCs w:val="20"/>
              </w:rPr>
            </w:pPr>
            <w:r>
              <w:rPr>
                <w:i/>
                <w:sz w:val="20"/>
                <w:szCs w:val="20"/>
              </w:rPr>
              <w:t>22</w:t>
            </w:r>
          </w:p>
        </w:tc>
        <w:tc>
          <w:tcPr>
            <w:tcW w:w="1119" w:type="dxa"/>
            <w:tcBorders>
              <w:bottom w:val="single" w:sz="4" w:space="0" w:color="000000"/>
            </w:tcBorders>
            <w:shd w:val="clear" w:color="auto" w:fill="auto"/>
            <w:vAlign w:val="center"/>
          </w:tcPr>
          <w:p w14:paraId="1F374834" w14:textId="77777777" w:rsidR="00786331" w:rsidRDefault="002B2CC0">
            <w:pPr>
              <w:jc w:val="center"/>
              <w:rPr>
                <w:i/>
              </w:rPr>
            </w:pPr>
            <w:r>
              <w:rPr>
                <w:i/>
              </w:rPr>
              <w:t>Sveučilište</w:t>
            </w:r>
          </w:p>
        </w:tc>
        <w:tc>
          <w:tcPr>
            <w:tcW w:w="1119" w:type="dxa"/>
            <w:tcBorders>
              <w:bottom w:val="single" w:sz="4" w:space="0" w:color="000000"/>
            </w:tcBorders>
            <w:shd w:val="clear" w:color="auto" w:fill="auto"/>
            <w:vAlign w:val="center"/>
          </w:tcPr>
          <w:p w14:paraId="1F374835" w14:textId="77777777" w:rsidR="00786331" w:rsidRDefault="002B2CC0">
            <w:pPr>
              <w:jc w:val="center"/>
              <w:rPr>
                <w:i/>
                <w:sz w:val="20"/>
                <w:szCs w:val="20"/>
              </w:rPr>
            </w:pPr>
            <w:r>
              <w:rPr>
                <w:i/>
                <w:sz w:val="20"/>
                <w:szCs w:val="20"/>
              </w:rPr>
              <w:t>25</w:t>
            </w:r>
          </w:p>
        </w:tc>
        <w:tc>
          <w:tcPr>
            <w:tcW w:w="1119" w:type="dxa"/>
            <w:tcBorders>
              <w:bottom w:val="single" w:sz="4" w:space="0" w:color="000000"/>
            </w:tcBorders>
            <w:shd w:val="clear" w:color="auto" w:fill="auto"/>
            <w:vAlign w:val="center"/>
          </w:tcPr>
          <w:p w14:paraId="1F374836" w14:textId="77777777" w:rsidR="00786331" w:rsidRDefault="002B2CC0">
            <w:pPr>
              <w:jc w:val="center"/>
              <w:rPr>
                <w:i/>
                <w:sz w:val="20"/>
                <w:szCs w:val="20"/>
              </w:rPr>
            </w:pPr>
            <w:r>
              <w:rPr>
                <w:i/>
                <w:sz w:val="20"/>
                <w:szCs w:val="20"/>
              </w:rPr>
              <w:t>30</w:t>
            </w:r>
          </w:p>
        </w:tc>
        <w:tc>
          <w:tcPr>
            <w:tcW w:w="1119" w:type="dxa"/>
            <w:tcBorders>
              <w:bottom w:val="single" w:sz="4" w:space="0" w:color="000000"/>
            </w:tcBorders>
            <w:shd w:val="clear" w:color="auto" w:fill="auto"/>
            <w:vAlign w:val="center"/>
          </w:tcPr>
          <w:p w14:paraId="1F374837" w14:textId="77777777" w:rsidR="00786331" w:rsidRDefault="002B2CC0">
            <w:pPr>
              <w:jc w:val="center"/>
              <w:rPr>
                <w:i/>
                <w:sz w:val="20"/>
                <w:szCs w:val="20"/>
              </w:rPr>
            </w:pPr>
            <w:r>
              <w:rPr>
                <w:i/>
                <w:sz w:val="20"/>
                <w:szCs w:val="20"/>
              </w:rPr>
              <w:t>35</w:t>
            </w:r>
          </w:p>
        </w:tc>
      </w:tr>
    </w:tbl>
    <w:p w14:paraId="1F374839" w14:textId="77777777" w:rsidR="00786331" w:rsidRDefault="00786331">
      <w:pPr>
        <w:jc w:val="both"/>
      </w:pPr>
    </w:p>
    <w:p w14:paraId="04429E95" w14:textId="77777777" w:rsidR="00EE188E" w:rsidRDefault="00EE188E">
      <w:pPr>
        <w:jc w:val="both"/>
      </w:pPr>
    </w:p>
    <w:p w14:paraId="0ACA7148" w14:textId="77777777" w:rsidR="00EE188E" w:rsidRDefault="00EE188E">
      <w:pPr>
        <w:jc w:val="both"/>
      </w:pPr>
    </w:p>
    <w:p w14:paraId="73A21597" w14:textId="77777777" w:rsidR="00EE188E" w:rsidRDefault="00EE188E">
      <w:pPr>
        <w:jc w:val="both"/>
      </w:pPr>
      <w:r>
        <w:tab/>
      </w:r>
      <w:r>
        <w:tab/>
      </w:r>
      <w:r>
        <w:tab/>
      </w:r>
      <w:r>
        <w:tab/>
      </w:r>
      <w:r>
        <w:tab/>
      </w:r>
      <w:r>
        <w:tab/>
      </w:r>
      <w:r>
        <w:tab/>
      </w:r>
      <w:r>
        <w:tab/>
      </w:r>
      <w:r>
        <w:tab/>
      </w:r>
      <w:r>
        <w:tab/>
        <w:t>Dekan</w:t>
      </w:r>
    </w:p>
    <w:p w14:paraId="5C2EF349" w14:textId="77777777" w:rsidR="00EE188E" w:rsidRDefault="00EE188E">
      <w:pPr>
        <w:jc w:val="both"/>
      </w:pPr>
    </w:p>
    <w:p w14:paraId="13688D05" w14:textId="37CC8013" w:rsidR="00EE188E" w:rsidRDefault="00EE188E">
      <w:pPr>
        <w:jc w:val="both"/>
      </w:pPr>
      <w:r>
        <w:tab/>
      </w:r>
      <w:r>
        <w:tab/>
      </w:r>
      <w:r>
        <w:tab/>
      </w:r>
      <w:r>
        <w:tab/>
      </w:r>
      <w:r>
        <w:tab/>
      </w:r>
      <w:r>
        <w:tab/>
      </w:r>
      <w:r w:rsidR="00385F22">
        <w:tab/>
      </w:r>
      <w:r>
        <w:tab/>
        <w:t>Prof.dr.sc. Zdenko Tonković</w:t>
      </w:r>
      <w:r>
        <w:tab/>
      </w:r>
    </w:p>
    <w:p w14:paraId="2CF6AC68" w14:textId="77777777" w:rsidR="00EE188E" w:rsidRDefault="00EE188E">
      <w:pPr>
        <w:jc w:val="both"/>
      </w:pPr>
    </w:p>
    <w:p w14:paraId="6913D198" w14:textId="08A18734" w:rsidR="00EE188E" w:rsidRDefault="00EE188E">
      <w:pPr>
        <w:jc w:val="both"/>
      </w:pPr>
      <w:r>
        <w:tab/>
      </w:r>
      <w:r>
        <w:tab/>
      </w:r>
      <w:r>
        <w:tab/>
      </w:r>
      <w:r>
        <w:tab/>
      </w:r>
    </w:p>
    <w:sectPr w:rsidR="00EE188E">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CA4CF" w14:textId="77777777" w:rsidR="006C307E" w:rsidRDefault="006C307E">
      <w:r>
        <w:separator/>
      </w:r>
    </w:p>
  </w:endnote>
  <w:endnote w:type="continuationSeparator" w:id="0">
    <w:p w14:paraId="1072B0AD" w14:textId="77777777" w:rsidR="006C307E" w:rsidRDefault="006C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483A" w14:textId="79721CB9" w:rsidR="00786331" w:rsidRDefault="002B2CC0">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F24A3">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1F37483B" w14:textId="77777777" w:rsidR="00786331" w:rsidRDefault="00786331">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AAA47" w14:textId="77777777" w:rsidR="006C307E" w:rsidRDefault="006C307E">
      <w:r>
        <w:separator/>
      </w:r>
    </w:p>
  </w:footnote>
  <w:footnote w:type="continuationSeparator" w:id="0">
    <w:p w14:paraId="776E02EF" w14:textId="77777777" w:rsidR="006C307E" w:rsidRDefault="006C3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035F"/>
    <w:multiLevelType w:val="multilevel"/>
    <w:tmpl w:val="066A7E2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D77B8A"/>
    <w:multiLevelType w:val="multilevel"/>
    <w:tmpl w:val="6A907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B40C5"/>
    <w:multiLevelType w:val="multilevel"/>
    <w:tmpl w:val="FC5289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31"/>
    <w:rsid w:val="00014708"/>
    <w:rsid w:val="0006021C"/>
    <w:rsid w:val="000C54E9"/>
    <w:rsid w:val="001665AF"/>
    <w:rsid w:val="001C43B0"/>
    <w:rsid w:val="00214BD1"/>
    <w:rsid w:val="00293046"/>
    <w:rsid w:val="002B2CC0"/>
    <w:rsid w:val="00307114"/>
    <w:rsid w:val="00380EC4"/>
    <w:rsid w:val="00385F22"/>
    <w:rsid w:val="003F370B"/>
    <w:rsid w:val="00403411"/>
    <w:rsid w:val="00426C16"/>
    <w:rsid w:val="004977D2"/>
    <w:rsid w:val="004A1218"/>
    <w:rsid w:val="006C307E"/>
    <w:rsid w:val="007769D1"/>
    <w:rsid w:val="00786331"/>
    <w:rsid w:val="00892643"/>
    <w:rsid w:val="008C2696"/>
    <w:rsid w:val="00A6735A"/>
    <w:rsid w:val="00AF24A3"/>
    <w:rsid w:val="00AF5069"/>
    <w:rsid w:val="00B52F2E"/>
    <w:rsid w:val="00CA50A4"/>
    <w:rsid w:val="00DE292D"/>
    <w:rsid w:val="00EA2A80"/>
    <w:rsid w:val="00EE0EC6"/>
    <w:rsid w:val="00EE188E"/>
    <w:rsid w:val="00F276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4697"/>
  <w15:docId w15:val="{545F6682-989B-4336-9982-1FAE6ED3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798"/>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 w:type="character" w:styleId="CommentReference">
    <w:name w:val="annotation reference"/>
    <w:basedOn w:val="DefaultParagraphFont"/>
    <w:uiPriority w:val="99"/>
    <w:semiHidden/>
    <w:unhideWhenUsed/>
    <w:rsid w:val="001D72C9"/>
    <w:rPr>
      <w:sz w:val="16"/>
      <w:szCs w:val="16"/>
    </w:rPr>
  </w:style>
  <w:style w:type="paragraph" w:styleId="CommentText">
    <w:name w:val="annotation text"/>
    <w:basedOn w:val="Normal"/>
    <w:link w:val="CommentTextChar"/>
    <w:uiPriority w:val="99"/>
    <w:unhideWhenUsed/>
    <w:rsid w:val="001D72C9"/>
    <w:rPr>
      <w:sz w:val="20"/>
      <w:szCs w:val="20"/>
    </w:rPr>
  </w:style>
  <w:style w:type="character" w:customStyle="1" w:styleId="CommentTextChar">
    <w:name w:val="Comment Text Char"/>
    <w:basedOn w:val="DefaultParagraphFont"/>
    <w:link w:val="CommentText"/>
    <w:uiPriority w:val="99"/>
    <w:rsid w:val="001D72C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72C9"/>
    <w:rPr>
      <w:b/>
      <w:bCs/>
    </w:rPr>
  </w:style>
  <w:style w:type="character" w:customStyle="1" w:styleId="CommentSubjectChar">
    <w:name w:val="Comment Subject Char"/>
    <w:basedOn w:val="CommentTextChar"/>
    <w:link w:val="CommentSubject"/>
    <w:uiPriority w:val="99"/>
    <w:semiHidden/>
    <w:rsid w:val="001D72C9"/>
    <w:rPr>
      <w:rFonts w:ascii="Times New Roman" w:eastAsia="Times New Roman" w:hAnsi="Times New Roman" w:cs="Times New Roman"/>
      <w:b/>
      <w:bCs/>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Ad++9IUiorOGI/m88wkmaih57Q==">AMUW2mXf2bT9u+NljwIJBEsUgK3DOJca1JFM25hoFQHhmQNVfKDPCpG6FzGTNBdbZ4nLsKVhiqN8jw3w9WJfzMBRD0cANovXPfgMmB352ucVwG6UYnYpEAFlkMBDgd67o0u1sXeay0Rs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2393</Words>
  <Characters>13644</Characters>
  <Application>Microsoft Office Word</Application>
  <DocSecurity>0</DocSecurity>
  <Lines>113</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Zagorac</dc:creator>
  <cp:lastModifiedBy>Ankica Mihaljevic</cp:lastModifiedBy>
  <cp:revision>3</cp:revision>
  <dcterms:created xsi:type="dcterms:W3CDTF">2022-12-14T10:40:00Z</dcterms:created>
  <dcterms:modified xsi:type="dcterms:W3CDTF">2022-12-14T10:40:00Z</dcterms:modified>
</cp:coreProperties>
</file>